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E3A9" w14:textId="38DAF1B0" w:rsidR="006644DE" w:rsidRPr="001A6209" w:rsidRDefault="00063195" w:rsidP="00C12536">
      <w:pPr>
        <w:spacing w:after="0" w:line="240" w:lineRule="auto"/>
        <w:rPr>
          <w:b/>
          <w:bCs/>
          <w:sz w:val="28"/>
          <w:szCs w:val="28"/>
        </w:rPr>
      </w:pPr>
      <w:r w:rsidRPr="001A6209">
        <w:rPr>
          <w:b/>
          <w:bCs/>
          <w:sz w:val="28"/>
          <w:szCs w:val="28"/>
        </w:rPr>
        <w:t xml:space="preserve">OPĆINA REŠETARI </w:t>
      </w:r>
    </w:p>
    <w:p w14:paraId="177BEE6C" w14:textId="758F6224" w:rsidR="006644DE" w:rsidRPr="00C12536" w:rsidRDefault="006644DE" w:rsidP="00C12536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C7AAB27" w14:textId="6FBB610B" w:rsidR="00305B71" w:rsidRPr="00C12536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BROJ RKP: 37172</w:t>
      </w:r>
      <w:r w:rsidR="006644DE">
        <w:rPr>
          <w:b/>
          <w:bCs/>
        </w:rPr>
        <w:tab/>
      </w:r>
      <w:r w:rsidR="006644DE">
        <w:rPr>
          <w:b/>
          <w:bCs/>
        </w:rPr>
        <w:tab/>
      </w:r>
      <w:r w:rsidR="006644DE">
        <w:rPr>
          <w:b/>
          <w:bCs/>
        </w:rPr>
        <w:tab/>
      </w:r>
      <w:r w:rsidR="006644DE">
        <w:rPr>
          <w:b/>
          <w:bCs/>
        </w:rPr>
        <w:tab/>
      </w:r>
      <w:r w:rsidR="006644DE">
        <w:rPr>
          <w:b/>
          <w:bCs/>
        </w:rPr>
        <w:tab/>
      </w:r>
    </w:p>
    <w:p w14:paraId="1B586E27" w14:textId="77777777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MATIČNI BROJ: 02699176</w:t>
      </w:r>
      <w:r w:rsidR="006644DE">
        <w:rPr>
          <w:b/>
          <w:bCs/>
        </w:rPr>
        <w:tab/>
      </w:r>
    </w:p>
    <w:p w14:paraId="5E856264" w14:textId="2A8680F9" w:rsidR="006644DE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OIB: 38998689292</w:t>
      </w:r>
    </w:p>
    <w:p w14:paraId="050E89C8" w14:textId="7AA4CC99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NAZIV OBVEZNIKA: OPĆINA REŠETARI </w:t>
      </w:r>
    </w:p>
    <w:p w14:paraId="39C5F716" w14:textId="74EDA6A1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POŠTA I MJESTO: 35403 REŠETARI</w:t>
      </w:r>
    </w:p>
    <w:p w14:paraId="1F49FFF9" w14:textId="16E26A1E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ULICA I KUĆNI BROJ: VLADIMIRA NAZORA 30</w:t>
      </w:r>
    </w:p>
    <w:p w14:paraId="13B38C60" w14:textId="77777777" w:rsidR="001A6209" w:rsidRDefault="001A6209" w:rsidP="00C12536">
      <w:pPr>
        <w:spacing w:after="0" w:line="240" w:lineRule="auto"/>
        <w:rPr>
          <w:b/>
          <w:bCs/>
        </w:rPr>
      </w:pPr>
    </w:p>
    <w:p w14:paraId="5C1E7103" w14:textId="2E68990C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RAZINA: 22</w:t>
      </w:r>
    </w:p>
    <w:p w14:paraId="7DC433B4" w14:textId="0B275201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ŠIFRA DJELATNOSTI: 8411- OPĆE DJELATNOSTI JAVNE UPRAVE </w:t>
      </w:r>
    </w:p>
    <w:p w14:paraId="6B007221" w14:textId="4EF5BB16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RAZDJEL: -</w:t>
      </w:r>
    </w:p>
    <w:p w14:paraId="7E81A722" w14:textId="460DEF76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ŠIFRA OPĆINE: 372</w:t>
      </w:r>
    </w:p>
    <w:p w14:paraId="44171F06" w14:textId="1B00A757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IBAN: HR8423600001837200004</w:t>
      </w:r>
    </w:p>
    <w:p w14:paraId="3966DA00" w14:textId="77777777" w:rsidR="00063195" w:rsidRPr="00C12536" w:rsidRDefault="00063195" w:rsidP="00C12536">
      <w:pPr>
        <w:spacing w:after="0" w:line="240" w:lineRule="auto"/>
        <w:rPr>
          <w:b/>
          <w:bCs/>
        </w:rPr>
      </w:pPr>
    </w:p>
    <w:p w14:paraId="76987C60" w14:textId="7C12A282" w:rsidR="00305B71" w:rsidRPr="00C12536" w:rsidRDefault="00305B71" w:rsidP="00C12536">
      <w:pPr>
        <w:spacing w:after="0" w:line="240" w:lineRule="auto"/>
        <w:rPr>
          <w:b/>
          <w:bCs/>
        </w:rPr>
      </w:pPr>
      <w:r w:rsidRPr="00C12536">
        <w:rPr>
          <w:b/>
          <w:bCs/>
        </w:rPr>
        <w:t xml:space="preserve">E-mail: </w:t>
      </w:r>
      <w:hyperlink r:id="rId6" w:history="1">
        <w:r w:rsidRPr="00C12536">
          <w:rPr>
            <w:rStyle w:val="Hiperveza"/>
            <w:b/>
            <w:bCs/>
          </w:rPr>
          <w:t>racunovodstvo</w:t>
        </w:r>
        <w:r w:rsidRPr="00C12536">
          <w:rPr>
            <w:rStyle w:val="Hiperveza"/>
            <w:rFonts w:cstheme="minorHAnsi"/>
            <w:b/>
            <w:bCs/>
          </w:rPr>
          <w:t>@</w:t>
        </w:r>
      </w:hyperlink>
      <w:r w:rsidR="006644DE">
        <w:rPr>
          <w:rStyle w:val="Hiperveza"/>
          <w:b/>
          <w:bCs/>
        </w:rPr>
        <w:t>resetari.hr</w:t>
      </w:r>
    </w:p>
    <w:p w14:paraId="03206DC8" w14:textId="77777777" w:rsidR="00063195" w:rsidRPr="00B277EC" w:rsidRDefault="00063195">
      <w:pPr>
        <w:rPr>
          <w:b/>
          <w:bCs/>
          <w:sz w:val="24"/>
          <w:szCs w:val="24"/>
        </w:rPr>
      </w:pPr>
    </w:p>
    <w:p w14:paraId="5066A7D8" w14:textId="30E99986" w:rsidR="00B277EC" w:rsidRDefault="00B277EC" w:rsidP="006644DE">
      <w:pPr>
        <w:jc w:val="center"/>
        <w:rPr>
          <w:b/>
          <w:sz w:val="24"/>
          <w:szCs w:val="24"/>
        </w:rPr>
      </w:pPr>
      <w:r w:rsidRPr="00A43962">
        <w:rPr>
          <w:b/>
          <w:sz w:val="24"/>
          <w:szCs w:val="24"/>
        </w:rPr>
        <w:t>BILJEŠKE UZ FINANCIJSK</w:t>
      </w:r>
      <w:r>
        <w:rPr>
          <w:b/>
          <w:sz w:val="24"/>
          <w:szCs w:val="24"/>
        </w:rPr>
        <w:t>I</w:t>
      </w:r>
      <w:r w:rsidRPr="00A43962">
        <w:rPr>
          <w:b/>
          <w:sz w:val="24"/>
          <w:szCs w:val="24"/>
        </w:rPr>
        <w:t xml:space="preserve"> IZVJEŠTAJ ZA </w:t>
      </w:r>
      <w:r w:rsidR="00D97EB1">
        <w:rPr>
          <w:b/>
          <w:sz w:val="24"/>
          <w:szCs w:val="24"/>
        </w:rPr>
        <w:t>RAZDOBLJE 01.01.202</w:t>
      </w:r>
      <w:r w:rsidR="00F90D81">
        <w:rPr>
          <w:b/>
          <w:sz w:val="24"/>
          <w:szCs w:val="24"/>
        </w:rPr>
        <w:t>4</w:t>
      </w:r>
      <w:r w:rsidR="006644DE">
        <w:rPr>
          <w:b/>
          <w:sz w:val="24"/>
          <w:szCs w:val="24"/>
        </w:rPr>
        <w:t xml:space="preserve">. – </w:t>
      </w:r>
      <w:r w:rsidR="00362723">
        <w:rPr>
          <w:b/>
          <w:sz w:val="24"/>
          <w:szCs w:val="24"/>
        </w:rPr>
        <w:t>31.12</w:t>
      </w:r>
      <w:r w:rsidR="001A40BE">
        <w:rPr>
          <w:b/>
          <w:sz w:val="24"/>
          <w:szCs w:val="24"/>
        </w:rPr>
        <w:t>.202</w:t>
      </w:r>
      <w:r w:rsidR="00F90D81">
        <w:rPr>
          <w:b/>
          <w:sz w:val="24"/>
          <w:szCs w:val="24"/>
        </w:rPr>
        <w:t>4</w:t>
      </w:r>
      <w:r w:rsidR="006644DE">
        <w:rPr>
          <w:b/>
          <w:sz w:val="24"/>
          <w:szCs w:val="24"/>
        </w:rPr>
        <w:t>.</w:t>
      </w:r>
    </w:p>
    <w:p w14:paraId="1DB923A7" w14:textId="77777777" w:rsidR="006644DE" w:rsidRPr="006644DE" w:rsidRDefault="006644DE" w:rsidP="006644DE">
      <w:pPr>
        <w:jc w:val="center"/>
        <w:rPr>
          <w:b/>
          <w:sz w:val="24"/>
          <w:szCs w:val="24"/>
        </w:rPr>
      </w:pPr>
    </w:p>
    <w:p w14:paraId="688D5203" w14:textId="428AD70F" w:rsidR="00362723" w:rsidRPr="00D97EB1" w:rsidRDefault="00362723" w:rsidP="00362723">
      <w:pPr>
        <w:spacing w:before="111"/>
        <w:ind w:left="120"/>
        <w:rPr>
          <w:rFonts w:ascii="Times New Roman" w:hAnsi="Times New Roman" w:cs="Times New Roman"/>
          <w:sz w:val="19"/>
        </w:rPr>
      </w:pPr>
      <w:r w:rsidRPr="00D97EB1">
        <w:rPr>
          <w:rFonts w:ascii="Times New Roman" w:hAnsi="Times New Roman" w:cs="Times New Roman"/>
          <w:position w:val="2"/>
          <w:sz w:val="20"/>
        </w:rPr>
        <w:t>Financijske izvje</w:t>
      </w:r>
      <w:r w:rsidRPr="00D97EB1">
        <w:rPr>
          <w:rFonts w:ascii="Times New Roman" w:hAnsi="Times New Roman" w:cs="Times New Roman"/>
          <w:position w:val="1"/>
          <w:sz w:val="20"/>
        </w:rPr>
        <w:t>š</w:t>
      </w:r>
      <w:r w:rsidRPr="00D97EB1">
        <w:rPr>
          <w:rFonts w:ascii="Times New Roman" w:hAnsi="Times New Roman" w:cs="Times New Roman"/>
          <w:position w:val="2"/>
          <w:sz w:val="20"/>
        </w:rPr>
        <w:t xml:space="preserve">taje </w:t>
      </w:r>
      <w:r w:rsidRPr="00D97EB1">
        <w:rPr>
          <w:rFonts w:ascii="Times New Roman" w:hAnsi="Times New Roman" w:cs="Times New Roman"/>
          <w:position w:val="1"/>
          <w:sz w:val="19"/>
        </w:rPr>
        <w:t>Op</w:t>
      </w:r>
      <w:r w:rsidRPr="00D97EB1">
        <w:rPr>
          <w:rFonts w:ascii="Times New Roman" w:hAnsi="Times New Roman" w:cs="Times New Roman"/>
          <w:position w:val="1"/>
          <w:sz w:val="21"/>
        </w:rPr>
        <w:t>ć</w:t>
      </w:r>
      <w:r w:rsidRPr="00D97EB1">
        <w:rPr>
          <w:rFonts w:ascii="Times New Roman" w:hAnsi="Times New Roman" w:cs="Times New Roman"/>
          <w:position w:val="1"/>
          <w:sz w:val="20"/>
        </w:rPr>
        <w:t xml:space="preserve">ine </w:t>
      </w:r>
      <w:r w:rsidRPr="00D97EB1">
        <w:rPr>
          <w:rFonts w:ascii="Times New Roman" w:hAnsi="Times New Roman" w:cs="Times New Roman"/>
          <w:position w:val="1"/>
          <w:sz w:val="19"/>
        </w:rPr>
        <w:t>Re</w:t>
      </w:r>
      <w:r w:rsidRPr="00D97EB1">
        <w:rPr>
          <w:rFonts w:ascii="Times New Roman" w:hAnsi="Times New Roman" w:cs="Times New Roman"/>
          <w:position w:val="1"/>
          <w:sz w:val="21"/>
        </w:rPr>
        <w:t>š</w:t>
      </w:r>
      <w:r w:rsidRPr="00D97EB1">
        <w:rPr>
          <w:rFonts w:ascii="Times New Roman" w:hAnsi="Times New Roman" w:cs="Times New Roman"/>
          <w:position w:val="1"/>
          <w:sz w:val="20"/>
        </w:rPr>
        <w:t xml:space="preserve">etari </w:t>
      </w:r>
      <w:r w:rsidRPr="00D97EB1">
        <w:rPr>
          <w:rFonts w:ascii="Times New Roman" w:hAnsi="Times New Roman" w:cs="Times New Roman"/>
          <w:position w:val="1"/>
          <w:sz w:val="19"/>
        </w:rPr>
        <w:t xml:space="preserve">za </w:t>
      </w:r>
      <w:r w:rsidR="00D97EB1" w:rsidRPr="00D97EB1">
        <w:rPr>
          <w:rFonts w:ascii="Times New Roman" w:hAnsi="Times New Roman" w:cs="Times New Roman"/>
          <w:sz w:val="20"/>
        </w:rPr>
        <w:t>202</w:t>
      </w:r>
      <w:r w:rsidR="00F90D81">
        <w:rPr>
          <w:rFonts w:ascii="Times New Roman" w:hAnsi="Times New Roman" w:cs="Times New Roman"/>
          <w:sz w:val="20"/>
        </w:rPr>
        <w:t>4</w:t>
      </w:r>
      <w:r w:rsidRPr="00D97EB1">
        <w:rPr>
          <w:rFonts w:ascii="Times New Roman" w:hAnsi="Times New Roman" w:cs="Times New Roman"/>
          <w:sz w:val="28"/>
        </w:rPr>
        <w:t xml:space="preserve">. </w:t>
      </w:r>
      <w:r w:rsidRPr="00D97EB1">
        <w:rPr>
          <w:rFonts w:ascii="Times New Roman" w:hAnsi="Times New Roman" w:cs="Times New Roman"/>
          <w:sz w:val="21"/>
        </w:rPr>
        <w:t>č</w:t>
      </w:r>
      <w:r w:rsidRPr="00D97EB1">
        <w:rPr>
          <w:rFonts w:ascii="Times New Roman" w:hAnsi="Times New Roman" w:cs="Times New Roman"/>
          <w:sz w:val="20"/>
        </w:rPr>
        <w:t>ine</w:t>
      </w:r>
      <w:r w:rsidRPr="00D97EB1">
        <w:rPr>
          <w:rFonts w:ascii="Times New Roman" w:hAnsi="Times New Roman" w:cs="Times New Roman"/>
          <w:sz w:val="19"/>
        </w:rPr>
        <w:t>:</w:t>
      </w:r>
    </w:p>
    <w:p w14:paraId="10901C2D" w14:textId="77777777" w:rsidR="00362723" w:rsidRPr="00D97EB1" w:rsidRDefault="00362723" w:rsidP="00362723">
      <w:pPr>
        <w:pStyle w:val="Odlomakpopisa"/>
        <w:widowControl w:val="0"/>
        <w:numPr>
          <w:ilvl w:val="0"/>
          <w:numId w:val="4"/>
        </w:numPr>
        <w:tabs>
          <w:tab w:val="left" w:pos="339"/>
        </w:tabs>
        <w:autoSpaceDE w:val="0"/>
        <w:autoSpaceDN w:val="0"/>
        <w:spacing w:before="105" w:after="0" w:line="240" w:lineRule="auto"/>
        <w:contextualSpacing w:val="0"/>
        <w:rPr>
          <w:rFonts w:ascii="Times New Roman" w:hAnsi="Times New Roman" w:cs="Times New Roman"/>
          <w:sz w:val="19"/>
        </w:rPr>
      </w:pPr>
      <w:r w:rsidRPr="00D97EB1">
        <w:rPr>
          <w:rFonts w:ascii="Times New Roman" w:hAnsi="Times New Roman" w:cs="Times New Roman"/>
          <w:w w:val="91"/>
          <w:sz w:val="21"/>
        </w:rPr>
        <w:t>Bilanc</w:t>
      </w:r>
      <w:r w:rsidRPr="00D97EB1">
        <w:rPr>
          <w:rFonts w:ascii="Times New Roman" w:hAnsi="Times New Roman" w:cs="Times New Roman"/>
          <w:spacing w:val="16"/>
          <w:w w:val="91"/>
          <w:sz w:val="21"/>
        </w:rPr>
        <w:t>a</w:t>
      </w:r>
      <w:r w:rsidRPr="00D97EB1">
        <w:rPr>
          <w:rFonts w:ascii="Times New Roman" w:hAnsi="Times New Roman" w:cs="Times New Roman"/>
          <w:w w:val="203"/>
          <w:position w:val="1"/>
          <w:sz w:val="21"/>
        </w:rPr>
        <w:t>-</w:t>
      </w:r>
      <w:r w:rsidRPr="00D97EB1">
        <w:rPr>
          <w:rFonts w:ascii="Times New Roman" w:hAnsi="Times New Roman" w:cs="Times New Roman"/>
          <w:spacing w:val="-21"/>
          <w:position w:val="1"/>
          <w:sz w:val="21"/>
        </w:rPr>
        <w:t xml:space="preserve"> </w:t>
      </w:r>
      <w:r w:rsidRPr="00D97EB1">
        <w:rPr>
          <w:rFonts w:ascii="Times New Roman" w:hAnsi="Times New Roman" w:cs="Times New Roman"/>
          <w:w w:val="99"/>
          <w:sz w:val="21"/>
        </w:rPr>
        <w:t>obr</w:t>
      </w:r>
      <w:r w:rsidRPr="00D97EB1">
        <w:rPr>
          <w:rFonts w:ascii="Times New Roman" w:hAnsi="Times New Roman" w:cs="Times New Roman"/>
          <w:w w:val="104"/>
          <w:sz w:val="23"/>
        </w:rPr>
        <w:t>.</w:t>
      </w:r>
      <w:r w:rsidRPr="00D97EB1">
        <w:rPr>
          <w:rFonts w:ascii="Times New Roman" w:hAnsi="Times New Roman" w:cs="Times New Roman"/>
          <w:spacing w:val="-17"/>
          <w:sz w:val="23"/>
        </w:rPr>
        <w:t xml:space="preserve"> </w:t>
      </w:r>
      <w:r w:rsidRPr="00D97EB1">
        <w:rPr>
          <w:rFonts w:ascii="Times New Roman" w:hAnsi="Times New Roman" w:cs="Times New Roman"/>
          <w:w w:val="89"/>
          <w:sz w:val="19"/>
        </w:rPr>
        <w:t>BIL</w:t>
      </w:r>
    </w:p>
    <w:p w14:paraId="0395B115" w14:textId="77777777" w:rsidR="00362723" w:rsidRPr="00D97EB1" w:rsidRDefault="00362723" w:rsidP="00362723">
      <w:pPr>
        <w:pStyle w:val="Odlomakpopisa"/>
        <w:widowControl w:val="0"/>
        <w:numPr>
          <w:ilvl w:val="0"/>
          <w:numId w:val="4"/>
        </w:numPr>
        <w:tabs>
          <w:tab w:val="left" w:pos="329"/>
        </w:tabs>
        <w:autoSpaceDE w:val="0"/>
        <w:autoSpaceDN w:val="0"/>
        <w:spacing w:before="104" w:after="0" w:line="240" w:lineRule="auto"/>
        <w:ind w:left="328" w:hanging="207"/>
        <w:contextualSpacing w:val="0"/>
        <w:rPr>
          <w:rFonts w:ascii="Times New Roman" w:hAnsi="Times New Roman" w:cs="Times New Roman"/>
          <w:sz w:val="19"/>
        </w:rPr>
      </w:pPr>
      <w:r w:rsidRPr="00D97EB1">
        <w:rPr>
          <w:rFonts w:ascii="Times New Roman" w:hAnsi="Times New Roman" w:cs="Times New Roman"/>
          <w:w w:val="98"/>
          <w:position w:val="2"/>
          <w:sz w:val="20"/>
        </w:rPr>
        <w:t>Izvj</w:t>
      </w:r>
      <w:r w:rsidRPr="00D97EB1">
        <w:rPr>
          <w:rFonts w:ascii="Times New Roman" w:hAnsi="Times New Roman" w:cs="Times New Roman"/>
          <w:spacing w:val="1"/>
          <w:w w:val="98"/>
          <w:position w:val="2"/>
          <w:sz w:val="20"/>
        </w:rPr>
        <w:t>e</w:t>
      </w:r>
      <w:r w:rsidRPr="00D97EB1">
        <w:rPr>
          <w:rFonts w:ascii="Times New Roman" w:hAnsi="Times New Roman" w:cs="Times New Roman"/>
          <w:spacing w:val="-1"/>
          <w:w w:val="79"/>
          <w:position w:val="2"/>
          <w:sz w:val="21"/>
        </w:rPr>
        <w:t>š</w:t>
      </w:r>
      <w:r w:rsidRPr="00D97EB1">
        <w:rPr>
          <w:rFonts w:ascii="Times New Roman" w:hAnsi="Times New Roman" w:cs="Times New Roman"/>
          <w:w w:val="119"/>
          <w:position w:val="2"/>
          <w:sz w:val="19"/>
        </w:rPr>
        <w:t>taj</w:t>
      </w:r>
      <w:r w:rsidRPr="00D97EB1">
        <w:rPr>
          <w:rFonts w:ascii="Times New Roman" w:hAnsi="Times New Roman" w:cs="Times New Roman"/>
          <w:spacing w:val="-9"/>
          <w:position w:val="2"/>
          <w:sz w:val="19"/>
        </w:rPr>
        <w:t xml:space="preserve"> </w:t>
      </w:r>
      <w:r w:rsidRPr="00D97EB1">
        <w:rPr>
          <w:rFonts w:ascii="Times New Roman" w:hAnsi="Times New Roman" w:cs="Times New Roman"/>
          <w:w w:val="98"/>
          <w:position w:val="2"/>
          <w:sz w:val="21"/>
        </w:rPr>
        <w:t>o</w:t>
      </w:r>
      <w:r w:rsidRPr="00D97EB1">
        <w:rPr>
          <w:rFonts w:ascii="Times New Roman" w:hAnsi="Times New Roman" w:cs="Times New Roman"/>
          <w:spacing w:val="-4"/>
          <w:position w:val="2"/>
          <w:sz w:val="21"/>
        </w:rPr>
        <w:t xml:space="preserve"> </w:t>
      </w:r>
      <w:r w:rsidRPr="00D97EB1">
        <w:rPr>
          <w:rFonts w:ascii="Times New Roman" w:hAnsi="Times New Roman" w:cs="Times New Roman"/>
          <w:w w:val="99"/>
          <w:position w:val="2"/>
          <w:sz w:val="21"/>
        </w:rPr>
        <w:t>prihodima</w:t>
      </w:r>
      <w:r w:rsidRPr="00D97EB1">
        <w:rPr>
          <w:rFonts w:ascii="Times New Roman" w:hAnsi="Times New Roman" w:cs="Times New Roman"/>
          <w:spacing w:val="-29"/>
          <w:position w:val="2"/>
          <w:sz w:val="21"/>
        </w:rPr>
        <w:t xml:space="preserve"> </w:t>
      </w:r>
      <w:r w:rsidRPr="00D97EB1">
        <w:rPr>
          <w:rFonts w:ascii="Times New Roman" w:hAnsi="Times New Roman" w:cs="Times New Roman"/>
          <w:w w:val="163"/>
          <w:position w:val="1"/>
          <w:sz w:val="20"/>
        </w:rPr>
        <w:t>i</w:t>
      </w:r>
      <w:r w:rsidRPr="00D97EB1">
        <w:rPr>
          <w:rFonts w:ascii="Times New Roman" w:hAnsi="Times New Roman" w:cs="Times New Roman"/>
          <w:spacing w:val="-19"/>
          <w:position w:val="1"/>
          <w:sz w:val="20"/>
        </w:rPr>
        <w:t xml:space="preserve"> </w:t>
      </w:r>
      <w:r w:rsidRPr="00D97EB1">
        <w:rPr>
          <w:rFonts w:ascii="Times New Roman" w:hAnsi="Times New Roman" w:cs="Times New Roman"/>
          <w:w w:val="95"/>
          <w:position w:val="1"/>
          <w:sz w:val="21"/>
        </w:rPr>
        <w:t>rashodim</w:t>
      </w:r>
      <w:r w:rsidRPr="00D97EB1">
        <w:rPr>
          <w:rFonts w:ascii="Times New Roman" w:hAnsi="Times New Roman" w:cs="Times New Roman"/>
          <w:spacing w:val="-25"/>
          <w:w w:val="95"/>
          <w:position w:val="1"/>
          <w:sz w:val="21"/>
        </w:rPr>
        <w:t>a</w:t>
      </w:r>
      <w:r w:rsidRPr="00D97EB1">
        <w:rPr>
          <w:rFonts w:ascii="Times New Roman" w:hAnsi="Times New Roman" w:cs="Times New Roman"/>
          <w:w w:val="144"/>
          <w:position w:val="2"/>
          <w:sz w:val="25"/>
        </w:rPr>
        <w:t>,</w:t>
      </w:r>
      <w:r w:rsidRPr="00D97EB1">
        <w:rPr>
          <w:rFonts w:ascii="Times New Roman" w:hAnsi="Times New Roman" w:cs="Times New Roman"/>
          <w:spacing w:val="-34"/>
          <w:position w:val="2"/>
          <w:sz w:val="25"/>
        </w:rPr>
        <w:t xml:space="preserve"> </w:t>
      </w:r>
      <w:r w:rsidRPr="00D97EB1">
        <w:rPr>
          <w:rFonts w:ascii="Times New Roman" w:hAnsi="Times New Roman" w:cs="Times New Roman"/>
          <w:w w:val="103"/>
          <w:position w:val="1"/>
          <w:sz w:val="20"/>
        </w:rPr>
        <w:t>primicima</w:t>
      </w:r>
      <w:r w:rsidRPr="00D97EB1">
        <w:rPr>
          <w:rFonts w:ascii="Times New Roman" w:hAnsi="Times New Roman" w:cs="Times New Roman"/>
          <w:spacing w:val="-27"/>
          <w:position w:val="1"/>
          <w:sz w:val="20"/>
        </w:rPr>
        <w:t xml:space="preserve"> </w:t>
      </w:r>
      <w:r w:rsidRPr="00D97EB1">
        <w:rPr>
          <w:rFonts w:ascii="Times New Roman" w:hAnsi="Times New Roman" w:cs="Times New Roman"/>
          <w:w w:val="163"/>
          <w:sz w:val="20"/>
        </w:rPr>
        <w:t>i</w:t>
      </w:r>
      <w:r w:rsidRPr="00D97EB1">
        <w:rPr>
          <w:rFonts w:ascii="Times New Roman" w:hAnsi="Times New Roman" w:cs="Times New Roman"/>
          <w:spacing w:val="-19"/>
          <w:sz w:val="20"/>
        </w:rPr>
        <w:t xml:space="preserve"> </w:t>
      </w:r>
      <w:r w:rsidRPr="00D97EB1">
        <w:rPr>
          <w:rFonts w:ascii="Times New Roman" w:hAnsi="Times New Roman" w:cs="Times New Roman"/>
          <w:w w:val="93"/>
          <w:sz w:val="21"/>
        </w:rPr>
        <w:t>izdacim</w:t>
      </w:r>
      <w:r w:rsidRPr="00D97EB1">
        <w:rPr>
          <w:rFonts w:ascii="Times New Roman" w:hAnsi="Times New Roman" w:cs="Times New Roman"/>
          <w:spacing w:val="22"/>
          <w:w w:val="93"/>
          <w:sz w:val="21"/>
        </w:rPr>
        <w:t>a</w:t>
      </w:r>
      <w:r w:rsidRPr="00D97EB1">
        <w:rPr>
          <w:rFonts w:ascii="Times New Roman" w:hAnsi="Times New Roman" w:cs="Times New Roman"/>
          <w:w w:val="194"/>
          <w:position w:val="1"/>
          <w:sz w:val="21"/>
        </w:rPr>
        <w:t>-</w:t>
      </w:r>
      <w:r w:rsidRPr="00D97EB1">
        <w:rPr>
          <w:rFonts w:ascii="Times New Roman" w:hAnsi="Times New Roman" w:cs="Times New Roman"/>
          <w:spacing w:val="-26"/>
          <w:position w:val="1"/>
          <w:sz w:val="21"/>
        </w:rPr>
        <w:t xml:space="preserve"> </w:t>
      </w:r>
      <w:r w:rsidRPr="00D97EB1">
        <w:rPr>
          <w:rFonts w:ascii="Times New Roman" w:hAnsi="Times New Roman" w:cs="Times New Roman"/>
          <w:sz w:val="21"/>
        </w:rPr>
        <w:t>ob</w:t>
      </w:r>
      <w:r w:rsidRPr="00D97EB1">
        <w:rPr>
          <w:rFonts w:ascii="Times New Roman" w:hAnsi="Times New Roman" w:cs="Times New Roman"/>
          <w:spacing w:val="-7"/>
          <w:sz w:val="21"/>
        </w:rPr>
        <w:t>r</w:t>
      </w:r>
      <w:r w:rsidRPr="00D97EB1">
        <w:rPr>
          <w:rFonts w:ascii="Times New Roman" w:hAnsi="Times New Roman" w:cs="Times New Roman"/>
          <w:w w:val="87"/>
          <w:sz w:val="33"/>
        </w:rPr>
        <w:t>.</w:t>
      </w:r>
      <w:r w:rsidRPr="00D97EB1">
        <w:rPr>
          <w:rFonts w:ascii="Times New Roman" w:hAnsi="Times New Roman" w:cs="Times New Roman"/>
          <w:spacing w:val="-52"/>
          <w:sz w:val="33"/>
        </w:rPr>
        <w:t xml:space="preserve"> </w:t>
      </w:r>
      <w:r w:rsidRPr="00D97EB1">
        <w:rPr>
          <w:rFonts w:ascii="Times New Roman" w:hAnsi="Times New Roman" w:cs="Times New Roman"/>
          <w:w w:val="79"/>
          <w:sz w:val="19"/>
        </w:rPr>
        <w:t>P</w:t>
      </w:r>
      <w:r w:rsidRPr="00D97EB1">
        <w:rPr>
          <w:rFonts w:ascii="Times New Roman" w:hAnsi="Times New Roman" w:cs="Times New Roman"/>
          <w:spacing w:val="4"/>
          <w:w w:val="79"/>
          <w:sz w:val="19"/>
        </w:rPr>
        <w:t>R</w:t>
      </w:r>
      <w:r w:rsidRPr="00D97EB1">
        <w:rPr>
          <w:rFonts w:ascii="Times New Roman" w:hAnsi="Times New Roman" w:cs="Times New Roman"/>
          <w:spacing w:val="4"/>
          <w:w w:val="101"/>
          <w:sz w:val="21"/>
        </w:rPr>
        <w:t>-</w:t>
      </w:r>
      <w:r w:rsidRPr="00D97EB1">
        <w:rPr>
          <w:rFonts w:ascii="Times New Roman" w:hAnsi="Times New Roman" w:cs="Times New Roman"/>
          <w:w w:val="83"/>
          <w:sz w:val="20"/>
        </w:rPr>
        <w:t>RAS</w:t>
      </w:r>
    </w:p>
    <w:p w14:paraId="20B73817" w14:textId="77777777" w:rsidR="00362723" w:rsidRPr="00D97EB1" w:rsidRDefault="00362723" w:rsidP="00362723">
      <w:pPr>
        <w:pStyle w:val="Odlomakpopisa"/>
        <w:widowControl w:val="0"/>
        <w:numPr>
          <w:ilvl w:val="0"/>
          <w:numId w:val="4"/>
        </w:numPr>
        <w:tabs>
          <w:tab w:val="left" w:pos="329"/>
        </w:tabs>
        <w:autoSpaceDE w:val="0"/>
        <w:autoSpaceDN w:val="0"/>
        <w:spacing w:before="65" w:after="0" w:line="240" w:lineRule="auto"/>
        <w:ind w:left="328" w:hanging="210"/>
        <w:contextualSpacing w:val="0"/>
        <w:rPr>
          <w:rFonts w:ascii="Times New Roman" w:hAnsi="Times New Roman" w:cs="Times New Roman"/>
          <w:sz w:val="20"/>
        </w:rPr>
      </w:pPr>
      <w:r w:rsidRPr="00D97EB1">
        <w:rPr>
          <w:rFonts w:ascii="Times New Roman" w:hAnsi="Times New Roman" w:cs="Times New Roman"/>
          <w:w w:val="95"/>
          <w:position w:val="2"/>
          <w:sz w:val="20"/>
        </w:rPr>
        <w:t>Izvje</w:t>
      </w:r>
      <w:r w:rsidRPr="00D97EB1">
        <w:rPr>
          <w:rFonts w:ascii="Times New Roman" w:hAnsi="Times New Roman" w:cs="Times New Roman"/>
          <w:w w:val="95"/>
          <w:position w:val="1"/>
          <w:sz w:val="21"/>
        </w:rPr>
        <w:t>š</w:t>
      </w:r>
      <w:r w:rsidRPr="00D97EB1">
        <w:rPr>
          <w:rFonts w:ascii="Times New Roman" w:hAnsi="Times New Roman" w:cs="Times New Roman"/>
          <w:w w:val="95"/>
          <w:position w:val="1"/>
          <w:sz w:val="20"/>
        </w:rPr>
        <w:t xml:space="preserve">taj </w:t>
      </w:r>
      <w:r w:rsidRPr="00D97EB1">
        <w:rPr>
          <w:rFonts w:ascii="Times New Roman" w:hAnsi="Times New Roman" w:cs="Times New Roman"/>
          <w:w w:val="95"/>
          <w:position w:val="1"/>
          <w:sz w:val="19"/>
        </w:rPr>
        <w:t xml:space="preserve">o </w:t>
      </w:r>
      <w:r w:rsidRPr="00D97EB1">
        <w:rPr>
          <w:rFonts w:ascii="Times New Roman" w:hAnsi="Times New Roman" w:cs="Times New Roman"/>
          <w:spacing w:val="2"/>
          <w:w w:val="95"/>
          <w:position w:val="1"/>
          <w:sz w:val="21"/>
        </w:rPr>
        <w:t>obvezama</w:t>
      </w:r>
      <w:r w:rsidRPr="00D97EB1">
        <w:rPr>
          <w:rFonts w:ascii="Times New Roman" w:hAnsi="Times New Roman" w:cs="Times New Roman"/>
          <w:spacing w:val="2"/>
          <w:w w:val="95"/>
          <w:sz w:val="26"/>
        </w:rPr>
        <w:t xml:space="preserve">- </w:t>
      </w:r>
      <w:r w:rsidRPr="00D97EB1">
        <w:rPr>
          <w:rFonts w:ascii="Times New Roman" w:hAnsi="Times New Roman" w:cs="Times New Roman"/>
          <w:w w:val="95"/>
          <w:position w:val="1"/>
          <w:sz w:val="20"/>
        </w:rPr>
        <w:t>obr</w:t>
      </w:r>
      <w:r w:rsidRPr="00D97EB1">
        <w:rPr>
          <w:rFonts w:ascii="Times New Roman" w:hAnsi="Times New Roman" w:cs="Times New Roman"/>
          <w:w w:val="95"/>
          <w:sz w:val="33"/>
        </w:rPr>
        <w:t>.</w:t>
      </w:r>
      <w:r w:rsidRPr="00D97EB1">
        <w:rPr>
          <w:rFonts w:ascii="Times New Roman" w:hAnsi="Times New Roman" w:cs="Times New Roman"/>
          <w:spacing w:val="-64"/>
          <w:w w:val="95"/>
          <w:sz w:val="33"/>
        </w:rPr>
        <w:t xml:space="preserve"> </w:t>
      </w:r>
      <w:r w:rsidRPr="00D97EB1">
        <w:rPr>
          <w:rFonts w:ascii="Times New Roman" w:hAnsi="Times New Roman" w:cs="Times New Roman"/>
          <w:w w:val="95"/>
          <w:position w:val="1"/>
          <w:sz w:val="19"/>
        </w:rPr>
        <w:t>OBVEZE</w:t>
      </w:r>
    </w:p>
    <w:p w14:paraId="2FEF8C72" w14:textId="77777777" w:rsidR="00362723" w:rsidRPr="00D97EB1" w:rsidRDefault="00362723" w:rsidP="00362723">
      <w:pPr>
        <w:pStyle w:val="Odlomakpopisa"/>
        <w:widowControl w:val="0"/>
        <w:numPr>
          <w:ilvl w:val="0"/>
          <w:numId w:val="4"/>
        </w:numPr>
        <w:tabs>
          <w:tab w:val="left" w:pos="332"/>
        </w:tabs>
        <w:autoSpaceDE w:val="0"/>
        <w:autoSpaceDN w:val="0"/>
        <w:spacing w:before="70" w:after="0" w:line="240" w:lineRule="auto"/>
        <w:ind w:left="331" w:hanging="217"/>
        <w:contextualSpacing w:val="0"/>
        <w:rPr>
          <w:rFonts w:ascii="Times New Roman" w:hAnsi="Times New Roman" w:cs="Times New Roman"/>
          <w:sz w:val="20"/>
        </w:rPr>
      </w:pPr>
      <w:r w:rsidRPr="00D97EB1">
        <w:rPr>
          <w:rFonts w:ascii="Times New Roman" w:hAnsi="Times New Roman" w:cs="Times New Roman"/>
          <w:w w:val="106"/>
          <w:position w:val="1"/>
          <w:sz w:val="19"/>
        </w:rPr>
        <w:t>Promjene</w:t>
      </w:r>
      <w:r w:rsidRPr="00D97EB1">
        <w:rPr>
          <w:rFonts w:ascii="Times New Roman" w:hAnsi="Times New Roman" w:cs="Times New Roman"/>
          <w:spacing w:val="-7"/>
          <w:position w:val="1"/>
          <w:sz w:val="19"/>
        </w:rPr>
        <w:t xml:space="preserve"> </w:t>
      </w:r>
      <w:r w:rsidRPr="00D97EB1">
        <w:rPr>
          <w:rFonts w:ascii="Times New Roman" w:hAnsi="Times New Roman" w:cs="Times New Roman"/>
          <w:w w:val="114"/>
          <w:sz w:val="19"/>
        </w:rPr>
        <w:t>u</w:t>
      </w:r>
      <w:r w:rsidRPr="00D97EB1">
        <w:rPr>
          <w:rFonts w:ascii="Times New Roman" w:hAnsi="Times New Roman" w:cs="Times New Roman"/>
          <w:spacing w:val="-4"/>
          <w:sz w:val="19"/>
        </w:rPr>
        <w:t xml:space="preserve"> </w:t>
      </w:r>
      <w:r w:rsidRPr="00D97EB1">
        <w:rPr>
          <w:rFonts w:ascii="Times New Roman" w:hAnsi="Times New Roman" w:cs="Times New Roman"/>
          <w:w w:val="104"/>
          <w:position w:val="1"/>
          <w:sz w:val="20"/>
        </w:rPr>
        <w:t>vrijednosti</w:t>
      </w:r>
      <w:r w:rsidRPr="00D97EB1">
        <w:rPr>
          <w:rFonts w:ascii="Times New Roman" w:hAnsi="Times New Roman" w:cs="Times New Roman"/>
          <w:spacing w:val="-30"/>
          <w:position w:val="1"/>
          <w:sz w:val="20"/>
        </w:rPr>
        <w:t xml:space="preserve"> </w:t>
      </w:r>
      <w:r w:rsidRPr="00D97EB1">
        <w:rPr>
          <w:rFonts w:ascii="Times New Roman" w:hAnsi="Times New Roman" w:cs="Times New Roman"/>
          <w:w w:val="163"/>
          <w:sz w:val="19"/>
        </w:rPr>
        <w:t>i</w:t>
      </w:r>
      <w:r w:rsidRPr="00D97EB1">
        <w:rPr>
          <w:rFonts w:ascii="Times New Roman" w:hAnsi="Times New Roman" w:cs="Times New Roman"/>
          <w:spacing w:val="-15"/>
          <w:sz w:val="19"/>
        </w:rPr>
        <w:t xml:space="preserve"> </w:t>
      </w:r>
      <w:r w:rsidRPr="00D97EB1">
        <w:rPr>
          <w:rFonts w:ascii="Times New Roman" w:hAnsi="Times New Roman" w:cs="Times New Roman"/>
          <w:w w:val="105"/>
          <w:sz w:val="20"/>
        </w:rPr>
        <w:t>obujmu</w:t>
      </w:r>
      <w:r w:rsidRPr="00D97EB1">
        <w:rPr>
          <w:rFonts w:ascii="Times New Roman" w:hAnsi="Times New Roman" w:cs="Times New Roman"/>
          <w:spacing w:val="-13"/>
          <w:sz w:val="20"/>
        </w:rPr>
        <w:t xml:space="preserve"> </w:t>
      </w:r>
      <w:r w:rsidRPr="00D97EB1">
        <w:rPr>
          <w:rFonts w:ascii="Times New Roman" w:hAnsi="Times New Roman" w:cs="Times New Roman"/>
          <w:w w:val="104"/>
          <w:sz w:val="20"/>
        </w:rPr>
        <w:t>imovine</w:t>
      </w:r>
      <w:r w:rsidRPr="00D97EB1">
        <w:rPr>
          <w:rFonts w:ascii="Times New Roman" w:hAnsi="Times New Roman" w:cs="Times New Roman"/>
          <w:spacing w:val="-21"/>
          <w:sz w:val="20"/>
        </w:rPr>
        <w:t xml:space="preserve"> </w:t>
      </w:r>
      <w:r w:rsidRPr="00D97EB1">
        <w:rPr>
          <w:rFonts w:ascii="Times New Roman" w:hAnsi="Times New Roman" w:cs="Times New Roman"/>
          <w:w w:val="136"/>
          <w:sz w:val="20"/>
        </w:rPr>
        <w:t>i</w:t>
      </w:r>
      <w:r w:rsidRPr="00D97EB1">
        <w:rPr>
          <w:rFonts w:ascii="Times New Roman" w:hAnsi="Times New Roman" w:cs="Times New Roman"/>
          <w:spacing w:val="-14"/>
          <w:sz w:val="20"/>
        </w:rPr>
        <w:t xml:space="preserve"> </w:t>
      </w:r>
      <w:r w:rsidRPr="00D97EB1">
        <w:rPr>
          <w:rFonts w:ascii="Times New Roman" w:hAnsi="Times New Roman" w:cs="Times New Roman"/>
          <w:w w:val="92"/>
          <w:sz w:val="21"/>
        </w:rPr>
        <w:t>obvez</w:t>
      </w:r>
      <w:r w:rsidRPr="00D97EB1">
        <w:rPr>
          <w:rFonts w:ascii="Times New Roman" w:hAnsi="Times New Roman" w:cs="Times New Roman"/>
          <w:spacing w:val="16"/>
          <w:w w:val="92"/>
          <w:sz w:val="21"/>
        </w:rPr>
        <w:t>a</w:t>
      </w:r>
      <w:r w:rsidRPr="00D97EB1">
        <w:rPr>
          <w:rFonts w:ascii="Times New Roman" w:hAnsi="Times New Roman" w:cs="Times New Roman"/>
          <w:w w:val="203"/>
          <w:sz w:val="21"/>
        </w:rPr>
        <w:t>-</w:t>
      </w:r>
      <w:r w:rsidRPr="00D97EB1">
        <w:rPr>
          <w:rFonts w:ascii="Times New Roman" w:hAnsi="Times New Roman" w:cs="Times New Roman"/>
          <w:spacing w:val="-26"/>
          <w:sz w:val="21"/>
        </w:rPr>
        <w:t xml:space="preserve"> </w:t>
      </w:r>
      <w:r w:rsidRPr="00D97EB1">
        <w:rPr>
          <w:rFonts w:ascii="Times New Roman" w:hAnsi="Times New Roman" w:cs="Times New Roman"/>
          <w:sz w:val="20"/>
        </w:rPr>
        <w:t>ob</w:t>
      </w:r>
      <w:r w:rsidRPr="00D97EB1">
        <w:rPr>
          <w:rFonts w:ascii="Times New Roman" w:hAnsi="Times New Roman" w:cs="Times New Roman"/>
          <w:spacing w:val="-7"/>
          <w:sz w:val="20"/>
        </w:rPr>
        <w:t>r</w:t>
      </w:r>
      <w:r w:rsidRPr="00D97EB1">
        <w:rPr>
          <w:rFonts w:ascii="Times New Roman" w:hAnsi="Times New Roman" w:cs="Times New Roman"/>
          <w:w w:val="87"/>
          <w:sz w:val="33"/>
        </w:rPr>
        <w:t>.</w:t>
      </w:r>
      <w:r w:rsidRPr="00D97EB1">
        <w:rPr>
          <w:rFonts w:ascii="Times New Roman" w:hAnsi="Times New Roman" w:cs="Times New Roman"/>
          <w:spacing w:val="-47"/>
          <w:sz w:val="33"/>
        </w:rPr>
        <w:t xml:space="preserve"> </w:t>
      </w:r>
      <w:r w:rsidRPr="00D97EB1">
        <w:rPr>
          <w:rFonts w:ascii="Times New Roman" w:hAnsi="Times New Roman" w:cs="Times New Roman"/>
          <w:spacing w:val="4"/>
          <w:w w:val="78"/>
          <w:sz w:val="19"/>
        </w:rPr>
        <w:t>P</w:t>
      </w:r>
      <w:r w:rsidRPr="00D97EB1">
        <w:rPr>
          <w:rFonts w:ascii="Times New Roman" w:hAnsi="Times New Roman" w:cs="Times New Roman"/>
          <w:spacing w:val="2"/>
          <w:w w:val="82"/>
          <w:position w:val="-2"/>
          <w:sz w:val="26"/>
        </w:rPr>
        <w:t>-</w:t>
      </w:r>
      <w:r w:rsidRPr="00D97EB1">
        <w:rPr>
          <w:rFonts w:ascii="Times New Roman" w:hAnsi="Times New Roman" w:cs="Times New Roman"/>
          <w:w w:val="88"/>
          <w:sz w:val="19"/>
        </w:rPr>
        <w:t>VRIO</w:t>
      </w:r>
    </w:p>
    <w:p w14:paraId="13EBACD6" w14:textId="77777777" w:rsidR="00362723" w:rsidRPr="00D97EB1" w:rsidRDefault="00362723" w:rsidP="00362723">
      <w:pPr>
        <w:pStyle w:val="Odlomakpopisa"/>
        <w:widowControl w:val="0"/>
        <w:numPr>
          <w:ilvl w:val="0"/>
          <w:numId w:val="4"/>
        </w:numPr>
        <w:tabs>
          <w:tab w:val="left" w:pos="329"/>
        </w:tabs>
        <w:autoSpaceDE w:val="0"/>
        <w:autoSpaceDN w:val="0"/>
        <w:spacing w:before="86" w:after="0" w:line="240" w:lineRule="auto"/>
        <w:ind w:left="328" w:hanging="215"/>
        <w:contextualSpacing w:val="0"/>
        <w:rPr>
          <w:rFonts w:ascii="Times New Roman" w:hAnsi="Times New Roman" w:cs="Times New Roman"/>
          <w:sz w:val="19"/>
        </w:rPr>
      </w:pPr>
      <w:r w:rsidRPr="00D97EB1">
        <w:rPr>
          <w:rFonts w:ascii="Times New Roman" w:hAnsi="Times New Roman" w:cs="Times New Roman"/>
          <w:position w:val="1"/>
          <w:sz w:val="20"/>
        </w:rPr>
        <w:t>Izvje</w:t>
      </w:r>
      <w:r w:rsidRPr="00D97EB1">
        <w:rPr>
          <w:rFonts w:ascii="Times New Roman" w:hAnsi="Times New Roman" w:cs="Times New Roman"/>
          <w:sz w:val="20"/>
        </w:rPr>
        <w:t>š</w:t>
      </w:r>
      <w:r w:rsidRPr="00D97EB1">
        <w:rPr>
          <w:rFonts w:ascii="Times New Roman" w:hAnsi="Times New Roman" w:cs="Times New Roman"/>
          <w:position w:val="1"/>
          <w:sz w:val="19"/>
        </w:rPr>
        <w:t xml:space="preserve">taj </w:t>
      </w:r>
      <w:r w:rsidRPr="00D97EB1">
        <w:rPr>
          <w:rFonts w:ascii="Times New Roman" w:hAnsi="Times New Roman" w:cs="Times New Roman"/>
          <w:sz w:val="19"/>
        </w:rPr>
        <w:t xml:space="preserve">o </w:t>
      </w:r>
      <w:r w:rsidRPr="00D97EB1">
        <w:rPr>
          <w:rFonts w:ascii="Times New Roman" w:hAnsi="Times New Roman" w:cs="Times New Roman"/>
          <w:sz w:val="20"/>
        </w:rPr>
        <w:t xml:space="preserve">rashodima </w:t>
      </w:r>
      <w:r w:rsidRPr="00D97EB1">
        <w:rPr>
          <w:rFonts w:ascii="Times New Roman" w:hAnsi="Times New Roman" w:cs="Times New Roman"/>
          <w:sz w:val="19"/>
        </w:rPr>
        <w:t xml:space="preserve">prema </w:t>
      </w:r>
      <w:r w:rsidRPr="00D97EB1">
        <w:rPr>
          <w:rFonts w:ascii="Times New Roman" w:hAnsi="Times New Roman" w:cs="Times New Roman"/>
          <w:sz w:val="20"/>
        </w:rPr>
        <w:t>funkcijskoj klasifikaciji</w:t>
      </w:r>
      <w:r w:rsidRPr="00D97EB1">
        <w:rPr>
          <w:rFonts w:ascii="Times New Roman" w:hAnsi="Times New Roman" w:cs="Times New Roman"/>
          <w:sz w:val="26"/>
        </w:rPr>
        <w:t xml:space="preserve">- </w:t>
      </w:r>
      <w:r w:rsidRPr="00D97EB1">
        <w:rPr>
          <w:rFonts w:ascii="Times New Roman" w:hAnsi="Times New Roman" w:cs="Times New Roman"/>
          <w:sz w:val="20"/>
        </w:rPr>
        <w:t>obr</w:t>
      </w:r>
      <w:r w:rsidRPr="00D97EB1">
        <w:rPr>
          <w:rFonts w:ascii="Times New Roman" w:hAnsi="Times New Roman" w:cs="Times New Roman"/>
          <w:position w:val="-1"/>
          <w:sz w:val="26"/>
        </w:rPr>
        <w:t>-</w:t>
      </w:r>
      <w:r w:rsidRPr="00D97EB1">
        <w:rPr>
          <w:rFonts w:ascii="Times New Roman" w:hAnsi="Times New Roman" w:cs="Times New Roman"/>
          <w:spacing w:val="15"/>
          <w:position w:val="-1"/>
          <w:sz w:val="26"/>
        </w:rPr>
        <w:t xml:space="preserve"> </w:t>
      </w:r>
      <w:r w:rsidRPr="00D97EB1">
        <w:rPr>
          <w:rFonts w:ascii="Times New Roman" w:hAnsi="Times New Roman" w:cs="Times New Roman"/>
          <w:sz w:val="19"/>
        </w:rPr>
        <w:t>RAS</w:t>
      </w:r>
      <w:r w:rsidRPr="00D97EB1">
        <w:rPr>
          <w:rFonts w:ascii="Times New Roman" w:hAnsi="Times New Roman" w:cs="Times New Roman"/>
          <w:sz w:val="21"/>
        </w:rPr>
        <w:t>-</w:t>
      </w:r>
      <w:r w:rsidRPr="00D97EB1">
        <w:rPr>
          <w:rFonts w:ascii="Times New Roman" w:hAnsi="Times New Roman" w:cs="Times New Roman"/>
          <w:sz w:val="20"/>
        </w:rPr>
        <w:t>funkcijski</w:t>
      </w:r>
    </w:p>
    <w:p w14:paraId="535242CA" w14:textId="7CA7D6D8" w:rsidR="00362723" w:rsidRPr="00D97EB1" w:rsidRDefault="00362723" w:rsidP="00362723">
      <w:pPr>
        <w:pStyle w:val="Odlomakpopisa"/>
        <w:widowControl w:val="0"/>
        <w:numPr>
          <w:ilvl w:val="0"/>
          <w:numId w:val="4"/>
        </w:numPr>
        <w:tabs>
          <w:tab w:val="left" w:pos="333"/>
        </w:tabs>
        <w:autoSpaceDE w:val="0"/>
        <w:autoSpaceDN w:val="0"/>
        <w:spacing w:before="101" w:after="0" w:line="240" w:lineRule="auto"/>
        <w:ind w:left="332" w:hanging="219"/>
        <w:contextualSpacing w:val="0"/>
        <w:rPr>
          <w:rFonts w:ascii="Times New Roman" w:hAnsi="Times New Roman" w:cs="Times New Roman"/>
          <w:sz w:val="19"/>
        </w:rPr>
      </w:pPr>
      <w:r w:rsidRPr="00D97EB1">
        <w:rPr>
          <w:rFonts w:ascii="Times New Roman" w:hAnsi="Times New Roman" w:cs="Times New Roman"/>
          <w:position w:val="1"/>
          <w:sz w:val="20"/>
        </w:rPr>
        <w:t>Bilje</w:t>
      </w:r>
      <w:r w:rsidRPr="00D97EB1">
        <w:rPr>
          <w:rFonts w:ascii="Times New Roman" w:hAnsi="Times New Roman" w:cs="Times New Roman"/>
          <w:sz w:val="21"/>
        </w:rPr>
        <w:t>š</w:t>
      </w:r>
      <w:r w:rsidRPr="00D97EB1">
        <w:rPr>
          <w:rFonts w:ascii="Times New Roman" w:hAnsi="Times New Roman" w:cs="Times New Roman"/>
          <w:sz w:val="20"/>
        </w:rPr>
        <w:t>ke</w:t>
      </w:r>
      <w:r w:rsidRPr="00D97EB1">
        <w:rPr>
          <w:rFonts w:ascii="Times New Roman" w:hAnsi="Times New Roman" w:cs="Times New Roman"/>
          <w:spacing w:val="-32"/>
          <w:sz w:val="20"/>
        </w:rPr>
        <w:t xml:space="preserve"> </w:t>
      </w:r>
      <w:r w:rsidRPr="00D97EB1">
        <w:rPr>
          <w:rFonts w:ascii="Times New Roman" w:hAnsi="Times New Roman" w:cs="Times New Roman"/>
          <w:sz w:val="21"/>
        </w:rPr>
        <w:t>uz</w:t>
      </w:r>
      <w:r w:rsidR="00D31290" w:rsidRPr="00D97EB1">
        <w:rPr>
          <w:rFonts w:ascii="Times New Roman" w:hAnsi="Times New Roman" w:cs="Times New Roman"/>
          <w:sz w:val="21"/>
        </w:rPr>
        <w:t xml:space="preserve"> </w:t>
      </w:r>
      <w:r w:rsidRPr="00D97EB1">
        <w:rPr>
          <w:rFonts w:ascii="Times New Roman" w:hAnsi="Times New Roman" w:cs="Times New Roman"/>
          <w:spacing w:val="-37"/>
          <w:sz w:val="21"/>
        </w:rPr>
        <w:t xml:space="preserve"> </w:t>
      </w:r>
      <w:r w:rsidRPr="00D97EB1">
        <w:rPr>
          <w:rFonts w:ascii="Times New Roman" w:hAnsi="Times New Roman" w:cs="Times New Roman"/>
          <w:position w:val="1"/>
          <w:sz w:val="20"/>
        </w:rPr>
        <w:t>financijska</w:t>
      </w:r>
      <w:r w:rsidRPr="00D97EB1">
        <w:rPr>
          <w:rFonts w:ascii="Times New Roman" w:hAnsi="Times New Roman" w:cs="Times New Roman"/>
          <w:spacing w:val="-35"/>
          <w:position w:val="1"/>
          <w:sz w:val="20"/>
        </w:rPr>
        <w:t xml:space="preserve"> </w:t>
      </w:r>
      <w:r w:rsidR="00D31290" w:rsidRPr="00D97EB1">
        <w:rPr>
          <w:rFonts w:ascii="Times New Roman" w:hAnsi="Times New Roman" w:cs="Times New Roman"/>
          <w:spacing w:val="-35"/>
          <w:position w:val="1"/>
          <w:sz w:val="20"/>
        </w:rPr>
        <w:t xml:space="preserve"> </w:t>
      </w:r>
      <w:r w:rsidRPr="00D97EB1">
        <w:rPr>
          <w:rFonts w:ascii="Times New Roman" w:hAnsi="Times New Roman" w:cs="Times New Roman"/>
          <w:sz w:val="20"/>
        </w:rPr>
        <w:t>izvješća</w:t>
      </w:r>
    </w:p>
    <w:p w14:paraId="31AA7D5F" w14:textId="77777777" w:rsidR="00033D46" w:rsidRPr="00D97EB1" w:rsidRDefault="00033D46">
      <w:pPr>
        <w:rPr>
          <w:rFonts w:ascii="Times New Roman" w:hAnsi="Times New Roman" w:cs="Times New Roman"/>
        </w:rPr>
      </w:pPr>
    </w:p>
    <w:p w14:paraId="382EC5CC" w14:textId="77777777" w:rsidR="00FB0157" w:rsidRDefault="00FB0157" w:rsidP="00E951B9">
      <w:pPr>
        <w:rPr>
          <w:b/>
          <w:u w:val="single"/>
        </w:rPr>
      </w:pPr>
    </w:p>
    <w:p w14:paraId="1EB55AE3" w14:textId="1F88C2AA" w:rsidR="00E951B9" w:rsidRPr="001A6209" w:rsidRDefault="00E951B9" w:rsidP="00E951B9">
      <w:pPr>
        <w:rPr>
          <w:b/>
          <w:u w:val="single"/>
        </w:rPr>
      </w:pPr>
      <w:r w:rsidRPr="001A6209">
        <w:rPr>
          <w:b/>
          <w:u w:val="single"/>
        </w:rPr>
        <w:t xml:space="preserve">BILJEŠKE UZ IZVJEŠTAJ O </w:t>
      </w:r>
      <w:r w:rsidR="005B1032">
        <w:rPr>
          <w:b/>
          <w:u w:val="single"/>
        </w:rPr>
        <w:t xml:space="preserve">PRIHODIMA I PRIMICIMA, RASHODIMA I IZDACIMA </w:t>
      </w:r>
      <w:r w:rsidRPr="001A6209">
        <w:rPr>
          <w:b/>
          <w:u w:val="single"/>
        </w:rPr>
        <w:t xml:space="preserve">- Obrazac PR-RAS </w:t>
      </w:r>
    </w:p>
    <w:p w14:paraId="2E6C7777" w14:textId="77777777" w:rsidR="00E951B9" w:rsidRDefault="00E951B9" w:rsidP="00E951B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51B9" w14:paraId="539F515C" w14:textId="77777777" w:rsidTr="00123EF9">
        <w:tc>
          <w:tcPr>
            <w:tcW w:w="9062" w:type="dxa"/>
          </w:tcPr>
          <w:p w14:paraId="03E2A104" w14:textId="49C3EE3C" w:rsidR="00A865A4" w:rsidRDefault="00A865A4" w:rsidP="00123EF9">
            <w:pPr>
              <w:rPr>
                <w:b/>
              </w:rPr>
            </w:pPr>
          </w:p>
          <w:p w14:paraId="661A559F" w14:textId="2813E6FC" w:rsidR="00A865A4" w:rsidRDefault="00A865A4" w:rsidP="00123EF9">
            <w:pPr>
              <w:rPr>
                <w:b/>
              </w:rPr>
            </w:pPr>
            <w:r>
              <w:rPr>
                <w:b/>
              </w:rPr>
              <w:t>6 – PRIHODI POSLOVANJA</w:t>
            </w:r>
            <w:r w:rsidR="007872C6">
              <w:rPr>
                <w:b/>
              </w:rPr>
              <w:t xml:space="preserve">- </w:t>
            </w:r>
            <w:r w:rsidR="007872C6" w:rsidRPr="007872C6">
              <w:t xml:space="preserve">iznose </w:t>
            </w:r>
            <w:r w:rsidR="00F90D81">
              <w:t xml:space="preserve">3.313.781,46 </w:t>
            </w:r>
            <w:proofErr w:type="spellStart"/>
            <w:r w:rsidR="00D97EB1">
              <w:t>eur</w:t>
            </w:r>
            <w:proofErr w:type="spellEnd"/>
            <w:r w:rsidR="007872C6" w:rsidRPr="007872C6">
              <w:t xml:space="preserve"> a sastoji se od:</w:t>
            </w:r>
          </w:p>
          <w:p w14:paraId="2DBC51FD" w14:textId="77777777" w:rsidR="00A865A4" w:rsidRDefault="00A865A4" w:rsidP="00123EF9">
            <w:pPr>
              <w:rPr>
                <w:b/>
              </w:rPr>
            </w:pPr>
          </w:p>
          <w:p w14:paraId="3ADD5D86" w14:textId="48B23BE3" w:rsidR="007A77BD" w:rsidRDefault="000D0EAD" w:rsidP="00123EF9">
            <w:r>
              <w:rPr>
                <w:b/>
              </w:rPr>
              <w:t>61</w:t>
            </w:r>
            <w:r w:rsidR="007A77BD">
              <w:rPr>
                <w:b/>
              </w:rPr>
              <w:t xml:space="preserve">- PRIHOD OD POREZA- </w:t>
            </w:r>
            <w:r w:rsidR="00A865A4">
              <w:t>iznose</w:t>
            </w:r>
            <w:r w:rsidR="007A77BD" w:rsidRPr="007A77BD">
              <w:t xml:space="preserve"> </w:t>
            </w:r>
            <w:r w:rsidR="00F90D81">
              <w:t>1.020.584,17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  <w:r w:rsidR="00A865A4">
              <w:t xml:space="preserve"> . U usporedbi s</w:t>
            </w:r>
            <w:r w:rsidR="000F0846">
              <w:t xml:space="preserve"> prošlim razdobljem prihod</w:t>
            </w:r>
            <w:r w:rsidR="00B73C63">
              <w:t>i</w:t>
            </w:r>
            <w:r w:rsidR="00E026C4">
              <w:t xml:space="preserve"> o</w:t>
            </w:r>
            <w:r w:rsidR="00D97EB1">
              <w:t xml:space="preserve">d poreza su se povećali  za </w:t>
            </w:r>
            <w:r w:rsidR="00F90D81">
              <w:t>36</w:t>
            </w:r>
            <w:r w:rsidR="00D97EB1">
              <w:t>,</w:t>
            </w:r>
            <w:r w:rsidR="00F90D81">
              <w:t>8</w:t>
            </w:r>
            <w:r w:rsidR="00D97EB1">
              <w:t>%.</w:t>
            </w:r>
          </w:p>
          <w:p w14:paraId="1345122A" w14:textId="77777777" w:rsidR="000F0846" w:rsidRDefault="000F0846" w:rsidP="00123EF9">
            <w:pPr>
              <w:rPr>
                <w:b/>
              </w:rPr>
            </w:pPr>
          </w:p>
          <w:p w14:paraId="65B762FC" w14:textId="79F89D37" w:rsidR="00E951B9" w:rsidRDefault="007A77BD" w:rsidP="00123EF9">
            <w:r>
              <w:rPr>
                <w:b/>
              </w:rPr>
              <w:t>61</w:t>
            </w:r>
            <w:r w:rsidR="000D0EAD">
              <w:rPr>
                <w:b/>
              </w:rPr>
              <w:t>1</w:t>
            </w:r>
            <w:r w:rsidR="00E951B9">
              <w:t>- Porez i prirez na dohodak</w:t>
            </w:r>
            <w:r w:rsidR="00F5132E">
              <w:t xml:space="preserve">– </w:t>
            </w:r>
            <w:r w:rsidR="00F90D81">
              <w:t>990.361,35</w:t>
            </w:r>
            <w:r w:rsidR="00D97EB1">
              <w:t xml:space="preserve"> EUR</w:t>
            </w:r>
          </w:p>
          <w:p w14:paraId="45BE7B46" w14:textId="61476324" w:rsidR="007A77BD" w:rsidRDefault="007A77BD" w:rsidP="00123EF9">
            <w:r w:rsidRPr="007A77BD">
              <w:rPr>
                <w:b/>
              </w:rPr>
              <w:t>613-</w:t>
            </w:r>
            <w:r>
              <w:t xml:space="preserve"> Porez na imovinu- </w:t>
            </w:r>
            <w:r w:rsidR="00F90D81">
              <w:t>24.517,73</w:t>
            </w:r>
            <w:r w:rsidR="00D97EB1">
              <w:t xml:space="preserve"> EUR</w:t>
            </w:r>
          </w:p>
          <w:p w14:paraId="378C152E" w14:textId="7320853E" w:rsidR="007A77BD" w:rsidRDefault="007A77BD" w:rsidP="00123EF9">
            <w:r w:rsidRPr="007A77BD">
              <w:rPr>
                <w:b/>
              </w:rPr>
              <w:t>614-</w:t>
            </w:r>
            <w:r w:rsidR="00F5132E">
              <w:t xml:space="preserve"> Porezi na robu i usluge- </w:t>
            </w:r>
            <w:r w:rsidR="00F90D81">
              <w:t>5.705,09</w:t>
            </w:r>
            <w:r w:rsidR="00D97EB1">
              <w:t xml:space="preserve"> EUR</w:t>
            </w:r>
          </w:p>
          <w:p w14:paraId="122FECE2" w14:textId="626131C0" w:rsidR="007A77BD" w:rsidRDefault="007A77BD" w:rsidP="00123EF9"/>
        </w:tc>
      </w:tr>
      <w:tr w:rsidR="007A77BD" w14:paraId="5A529A75" w14:textId="77777777" w:rsidTr="00123EF9">
        <w:tc>
          <w:tcPr>
            <w:tcW w:w="9062" w:type="dxa"/>
          </w:tcPr>
          <w:p w14:paraId="35036055" w14:textId="65E9B2F8" w:rsidR="007A77BD" w:rsidRDefault="007A77BD" w:rsidP="00123EF9">
            <w:r>
              <w:rPr>
                <w:b/>
              </w:rPr>
              <w:t xml:space="preserve">63-POMOĆI IZ INOZEMSTVA I OD SUBJEKATA UNUTAR OPĆEG PRORAČUNA- </w:t>
            </w:r>
            <w:r w:rsidRPr="007A77BD">
              <w:t xml:space="preserve">iznosi </w:t>
            </w:r>
            <w:r w:rsidR="00F90D81">
              <w:t>1.967.780,77</w:t>
            </w:r>
            <w:r w:rsidR="00D97EB1">
              <w:t xml:space="preserve"> EUR, smanjeni su za </w:t>
            </w:r>
            <w:r w:rsidR="00F90D81">
              <w:t xml:space="preserve">52,70 </w:t>
            </w:r>
            <w:r w:rsidR="00D97EB1">
              <w:t>% u usporedbi sa prošlom godinom.</w:t>
            </w:r>
          </w:p>
          <w:p w14:paraId="50D81F80" w14:textId="77777777" w:rsidR="000F0846" w:rsidRDefault="000F0846" w:rsidP="00123EF9"/>
          <w:p w14:paraId="7ADCDDEE" w14:textId="04A9EB31" w:rsidR="007A77BD" w:rsidRDefault="007A77BD" w:rsidP="00123EF9">
            <w:r w:rsidRPr="007A77BD">
              <w:rPr>
                <w:b/>
              </w:rPr>
              <w:lastRenderedPageBreak/>
              <w:t>633</w:t>
            </w:r>
            <w:r>
              <w:t xml:space="preserve">-pomoći proračunu iz drugih proračuna i izvanproračunskim korisnicima- </w:t>
            </w:r>
            <w:r w:rsidR="00D97EB1">
              <w:t>1.</w:t>
            </w:r>
            <w:r w:rsidR="00F90D81">
              <w:t>294.530,63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</w:p>
          <w:p w14:paraId="611AA0EE" w14:textId="44A2A0DF" w:rsidR="00F5132E" w:rsidRDefault="00F5132E" w:rsidP="00123EF9">
            <w:r w:rsidRPr="00F5132E">
              <w:rPr>
                <w:b/>
              </w:rPr>
              <w:t>634</w:t>
            </w:r>
            <w:r>
              <w:t xml:space="preserve"> - pomoći od izvanproračunskih korisnika – </w:t>
            </w:r>
            <w:r w:rsidR="00F90D81">
              <w:t>38.659,27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</w:p>
          <w:p w14:paraId="3110A83F" w14:textId="36C11641" w:rsidR="007A77BD" w:rsidRDefault="007A77BD" w:rsidP="00F5132E">
            <w:r w:rsidRPr="007A77BD">
              <w:rPr>
                <w:b/>
              </w:rPr>
              <w:t>638-</w:t>
            </w:r>
            <w:r>
              <w:t xml:space="preserve"> Pomoći temeljem prijenosa EU sredstava- </w:t>
            </w:r>
            <w:r w:rsidR="00F90D81">
              <w:t>634.590,97</w:t>
            </w:r>
            <w:r w:rsidR="00D97EB1">
              <w:t xml:space="preserve"> eur, </w:t>
            </w:r>
            <w:r w:rsidR="00896BFC">
              <w:t>povećani</w:t>
            </w:r>
            <w:r w:rsidR="00D97EB1">
              <w:t xml:space="preserve"> su za </w:t>
            </w:r>
            <w:r w:rsidR="00896BFC">
              <w:t>25</w:t>
            </w:r>
            <w:r w:rsidR="00D97EB1">
              <w:t xml:space="preserve">0% u usporedbi </w:t>
            </w:r>
            <w:r w:rsidR="00896BFC">
              <w:t xml:space="preserve">sa prošlom godinom , zbog prihoda za EU projekt Zaželi i prihod za izgradnju dječjeg vrtića u </w:t>
            </w:r>
            <w:proofErr w:type="spellStart"/>
            <w:r w:rsidR="00896BFC">
              <w:t>Adžamovcima</w:t>
            </w:r>
            <w:proofErr w:type="spellEnd"/>
            <w:r w:rsidR="00896BFC">
              <w:t>.</w:t>
            </w:r>
          </w:p>
          <w:p w14:paraId="48009B4C" w14:textId="222B1145" w:rsidR="009739CA" w:rsidRDefault="009739CA" w:rsidP="00F5132E">
            <w:pPr>
              <w:rPr>
                <w:b/>
              </w:rPr>
            </w:pPr>
          </w:p>
        </w:tc>
      </w:tr>
      <w:tr w:rsidR="007A77BD" w14:paraId="0FBCF49F" w14:textId="77777777" w:rsidTr="00123EF9">
        <w:tc>
          <w:tcPr>
            <w:tcW w:w="9062" w:type="dxa"/>
          </w:tcPr>
          <w:p w14:paraId="5C234FF1" w14:textId="5C5452C2" w:rsidR="007A77BD" w:rsidRDefault="007A77BD" w:rsidP="00B60364">
            <w:r w:rsidRPr="00B60364">
              <w:rPr>
                <w:b/>
                <w:bCs/>
              </w:rPr>
              <w:lastRenderedPageBreak/>
              <w:t>64</w:t>
            </w:r>
            <w:r w:rsidRPr="00B60364">
              <w:rPr>
                <w:b/>
              </w:rPr>
              <w:t xml:space="preserve">- </w:t>
            </w:r>
            <w:r w:rsidR="00B60364" w:rsidRPr="00B60364">
              <w:rPr>
                <w:b/>
              </w:rPr>
              <w:t>PRIHODI OD IMOVINE</w:t>
            </w:r>
            <w:r w:rsidR="00B60364">
              <w:t>-iznosi</w:t>
            </w:r>
            <w:r>
              <w:t xml:space="preserve"> </w:t>
            </w:r>
            <w:r w:rsidR="00896BFC">
              <w:t>47.832,87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</w:p>
          <w:p w14:paraId="51BEA645" w14:textId="6CCFB228" w:rsidR="00B60364" w:rsidRDefault="00B60364" w:rsidP="00B60364">
            <w:r w:rsidRPr="00B60364">
              <w:rPr>
                <w:b/>
              </w:rPr>
              <w:t>641-</w:t>
            </w:r>
            <w:r>
              <w:t xml:space="preserve"> Prihod od nefinancijske imovine-</w:t>
            </w:r>
            <w:r w:rsidR="00896BFC">
              <w:t>1.086,27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</w:p>
          <w:p w14:paraId="4E362F2F" w14:textId="45B7AF61" w:rsidR="00B60364" w:rsidRDefault="00B60364" w:rsidP="00D97EB1">
            <w:r w:rsidRPr="00B60364">
              <w:rPr>
                <w:b/>
              </w:rPr>
              <w:t>642-</w:t>
            </w:r>
            <w:r>
              <w:t xml:space="preserve"> Prihod od nefinancijske imovine- </w:t>
            </w:r>
            <w:r w:rsidR="00896BFC">
              <w:t>46.746,60</w:t>
            </w:r>
            <w:r w:rsidR="00D97EB1">
              <w:t xml:space="preserve"> </w:t>
            </w:r>
            <w:proofErr w:type="spellStart"/>
            <w:r w:rsidR="00896BFC">
              <w:t>eur</w:t>
            </w:r>
            <w:proofErr w:type="spellEnd"/>
          </w:p>
        </w:tc>
      </w:tr>
      <w:tr w:rsidR="007A77BD" w14:paraId="49B6C269" w14:textId="77777777" w:rsidTr="00123EF9">
        <w:tc>
          <w:tcPr>
            <w:tcW w:w="9062" w:type="dxa"/>
          </w:tcPr>
          <w:p w14:paraId="49E1B550" w14:textId="742A0B98" w:rsidR="00B60364" w:rsidRDefault="00B60364" w:rsidP="00B60364">
            <w:r>
              <w:rPr>
                <w:b/>
                <w:bCs/>
              </w:rPr>
              <w:t>65</w:t>
            </w:r>
            <w:r w:rsidRPr="00B60364">
              <w:rPr>
                <w:b/>
              </w:rPr>
              <w:t xml:space="preserve">- </w:t>
            </w:r>
            <w:r>
              <w:rPr>
                <w:b/>
              </w:rPr>
              <w:t>PRIHOD OD UPRAVNIH I ADMINISTRATIVNIH PRISTOJBI</w:t>
            </w:r>
            <w:r>
              <w:t xml:space="preserve">-iznosi </w:t>
            </w:r>
            <w:r w:rsidR="00896BFC">
              <w:t>263.388,34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</w:p>
          <w:p w14:paraId="14E5E266" w14:textId="7B69F158" w:rsidR="00B60364" w:rsidRDefault="00B60364" w:rsidP="00B60364">
            <w:r w:rsidRPr="00B60364">
              <w:rPr>
                <w:b/>
              </w:rPr>
              <w:t>652-</w:t>
            </w:r>
            <w:r>
              <w:t xml:space="preserve"> Prihod po posebnim propisima- </w:t>
            </w:r>
            <w:r w:rsidR="00896BFC">
              <w:t>85.243,75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  <w:r w:rsidR="00D97EB1">
              <w:t xml:space="preserve"> </w:t>
            </w:r>
            <w:r w:rsidR="00896BFC">
              <w:t>povećani</w:t>
            </w:r>
            <w:r w:rsidR="00D97EB1">
              <w:t xml:space="preserve"> su za </w:t>
            </w:r>
            <w:r w:rsidR="00896BFC">
              <w:t>51</w:t>
            </w:r>
            <w:r w:rsidR="00D97EB1">
              <w:t>,</w:t>
            </w:r>
            <w:r w:rsidR="00896BFC">
              <w:t>40</w:t>
            </w:r>
            <w:r w:rsidR="00D97EB1">
              <w:t>% u usporedbi sa prošlom godinom</w:t>
            </w:r>
            <w:r w:rsidR="004845ED">
              <w:t xml:space="preserve"> zbog povećanja prihoda od šumskog doprinosa.</w:t>
            </w:r>
          </w:p>
          <w:p w14:paraId="5F01235E" w14:textId="1014C6C8" w:rsidR="007A77BD" w:rsidRDefault="00B60364" w:rsidP="007711E9">
            <w:r w:rsidRPr="00B60364">
              <w:rPr>
                <w:b/>
              </w:rPr>
              <w:t>653-</w:t>
            </w:r>
            <w:r>
              <w:t xml:space="preserve">Komunalni doprinos i naknade- </w:t>
            </w:r>
            <w:r w:rsidR="004845ED">
              <w:t>178.144,59</w:t>
            </w:r>
            <w:r w:rsidR="007711E9">
              <w:t xml:space="preserve"> EUR , ovaj prihod je povećan za 2% u usporedbi sa prošlom godinom zbog povećane naplate komunalne naknade – slanje opomena, ovrha i sl.</w:t>
            </w:r>
          </w:p>
        </w:tc>
      </w:tr>
      <w:tr w:rsidR="007A77BD" w14:paraId="59E39BEB" w14:textId="77777777" w:rsidTr="00123EF9">
        <w:tc>
          <w:tcPr>
            <w:tcW w:w="9062" w:type="dxa"/>
          </w:tcPr>
          <w:p w14:paraId="7276093C" w14:textId="3B0100EE" w:rsidR="007A77BD" w:rsidRDefault="00B60364" w:rsidP="007A77BD">
            <w:r>
              <w:rPr>
                <w:b/>
                <w:bCs/>
              </w:rPr>
              <w:t>66-PRIHOD OD PRODAJE PROIZVODA TE PRUŽENIH USLUGA, PRIHOD OD DONACIJA</w:t>
            </w:r>
            <w:r w:rsidRPr="00B60364">
              <w:rPr>
                <w:bCs/>
              </w:rPr>
              <w:t xml:space="preserve">- iznosi </w:t>
            </w:r>
            <w:r w:rsidR="004845ED">
              <w:rPr>
                <w:bCs/>
              </w:rPr>
              <w:t>14.167,97</w:t>
            </w:r>
            <w:r w:rsidR="007711E9">
              <w:rPr>
                <w:bCs/>
              </w:rPr>
              <w:t xml:space="preserve"> </w:t>
            </w:r>
            <w:proofErr w:type="spellStart"/>
            <w:r w:rsidR="007711E9">
              <w:rPr>
                <w:bCs/>
              </w:rPr>
              <w:t>eur</w:t>
            </w:r>
            <w:proofErr w:type="spellEnd"/>
            <w:r w:rsidR="007A77BD">
              <w:t xml:space="preserve"> </w:t>
            </w:r>
          </w:p>
          <w:p w14:paraId="627A3271" w14:textId="77777777" w:rsidR="00B60364" w:rsidRDefault="00B60364" w:rsidP="00871816">
            <w:r w:rsidRPr="00B60364">
              <w:rPr>
                <w:b/>
              </w:rPr>
              <w:t>661</w:t>
            </w:r>
            <w:r>
              <w:t xml:space="preserve">-Prihod od prodaje proizvoda i robe te pruženih usluga- </w:t>
            </w:r>
            <w:r w:rsidR="007711E9">
              <w:t>6.</w:t>
            </w:r>
            <w:r w:rsidR="004845ED">
              <w:t>197,97</w:t>
            </w:r>
            <w:r w:rsidR="007711E9">
              <w:t xml:space="preserve"> </w:t>
            </w:r>
            <w:proofErr w:type="spellStart"/>
            <w:r w:rsidR="007711E9">
              <w:t>eur</w:t>
            </w:r>
            <w:proofErr w:type="spellEnd"/>
          </w:p>
          <w:p w14:paraId="44D0B662" w14:textId="77777777" w:rsidR="004845ED" w:rsidRDefault="004845ED" w:rsidP="00871816">
            <w:r w:rsidRPr="004845ED">
              <w:rPr>
                <w:b/>
                <w:bCs/>
              </w:rPr>
              <w:t>663</w:t>
            </w:r>
            <w:r>
              <w:t xml:space="preserve">-Donacije od pravnih i fizičkih osoba izvan općeg proračuna – 8.000,00 </w:t>
            </w:r>
            <w:proofErr w:type="spellStart"/>
            <w:r>
              <w:t>eur</w:t>
            </w:r>
            <w:proofErr w:type="spellEnd"/>
            <w:r>
              <w:t xml:space="preserve"> </w:t>
            </w:r>
          </w:p>
          <w:p w14:paraId="00B27949" w14:textId="25AB854B" w:rsidR="004845ED" w:rsidRDefault="004845ED" w:rsidP="00871816">
            <w:r>
              <w:t>Kapitalna donacija 5.000,00 EUR za automobil Polo i Tekuća donacija 3.000,00 EUR</w:t>
            </w:r>
          </w:p>
        </w:tc>
      </w:tr>
      <w:tr w:rsidR="00871816" w14:paraId="431BC305" w14:textId="77777777" w:rsidTr="00123EF9">
        <w:tc>
          <w:tcPr>
            <w:tcW w:w="9062" w:type="dxa"/>
          </w:tcPr>
          <w:p w14:paraId="372F2F83" w14:textId="6702090B" w:rsidR="00871816" w:rsidRDefault="00EA16A7" w:rsidP="00871816">
            <w:pPr>
              <w:rPr>
                <w:bCs/>
              </w:rPr>
            </w:pPr>
            <w:r>
              <w:rPr>
                <w:b/>
                <w:bCs/>
              </w:rPr>
              <w:t>7</w:t>
            </w:r>
            <w:r w:rsidR="00871816">
              <w:rPr>
                <w:b/>
                <w:bCs/>
              </w:rPr>
              <w:t xml:space="preserve">-PRIHOD OD PRODAJE </w:t>
            </w:r>
            <w:r>
              <w:rPr>
                <w:b/>
                <w:bCs/>
              </w:rPr>
              <w:t>NEFINANCIJSKE</w:t>
            </w:r>
            <w:r w:rsidR="00871816">
              <w:rPr>
                <w:b/>
                <w:bCs/>
              </w:rPr>
              <w:t xml:space="preserve"> IMOVINE</w:t>
            </w:r>
            <w:r w:rsidR="00871816" w:rsidRPr="00B60364">
              <w:rPr>
                <w:bCs/>
              </w:rPr>
              <w:t xml:space="preserve">- iznosi </w:t>
            </w:r>
            <w:r w:rsidR="004845ED">
              <w:rPr>
                <w:bCs/>
              </w:rPr>
              <w:t>13.783,00</w:t>
            </w:r>
            <w:r w:rsidR="007711E9">
              <w:rPr>
                <w:bCs/>
              </w:rPr>
              <w:t xml:space="preserve"> </w:t>
            </w:r>
            <w:proofErr w:type="spellStart"/>
            <w:r w:rsidR="007711E9">
              <w:rPr>
                <w:bCs/>
              </w:rPr>
              <w:t>eur</w:t>
            </w:r>
            <w:proofErr w:type="spellEnd"/>
            <w:r w:rsidR="007872C6">
              <w:rPr>
                <w:bCs/>
              </w:rPr>
              <w:t xml:space="preserve"> </w:t>
            </w:r>
            <w:r w:rsidR="007872C6">
              <w:t>a sastoji se od:</w:t>
            </w:r>
          </w:p>
          <w:p w14:paraId="23EC80F5" w14:textId="77777777" w:rsidR="00871816" w:rsidRDefault="00EA16A7" w:rsidP="00EA16A7">
            <w:pPr>
              <w:rPr>
                <w:bCs/>
              </w:rPr>
            </w:pPr>
            <w:r w:rsidRPr="00EA16A7">
              <w:rPr>
                <w:b/>
                <w:bCs/>
              </w:rPr>
              <w:t>7</w:t>
            </w:r>
            <w:r w:rsidR="004845ED">
              <w:rPr>
                <w:b/>
                <w:bCs/>
              </w:rPr>
              <w:t>23</w:t>
            </w: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</w:t>
            </w:r>
            <w:r w:rsidRPr="00EA16A7">
              <w:rPr>
                <w:bCs/>
              </w:rPr>
              <w:t xml:space="preserve">rihod od </w:t>
            </w:r>
            <w:r w:rsidR="004845ED">
              <w:rPr>
                <w:bCs/>
              </w:rPr>
              <w:t>prodaje prijevoznih sredstava 13.783,00</w:t>
            </w:r>
          </w:p>
          <w:p w14:paraId="1DA7A2C3" w14:textId="3DF77235" w:rsidR="004845ED" w:rsidRPr="004845ED" w:rsidRDefault="004845ED" w:rsidP="00EA16A7">
            <w:r>
              <w:rPr>
                <w:bCs/>
              </w:rPr>
              <w:t>Ove godine prodan je automobil pa je zbog toga povećanje za 205,7% u usporedbi s prošlom godinom.</w:t>
            </w:r>
          </w:p>
        </w:tc>
      </w:tr>
      <w:tr w:rsidR="00BF2016" w14:paraId="16197AE0" w14:textId="77777777" w:rsidTr="00123EF9">
        <w:tc>
          <w:tcPr>
            <w:tcW w:w="9062" w:type="dxa"/>
          </w:tcPr>
          <w:p w14:paraId="09D62779" w14:textId="3F9D5745" w:rsidR="00BF2016" w:rsidRDefault="00BF2016" w:rsidP="007A77BD">
            <w:pPr>
              <w:rPr>
                <w:bCs/>
              </w:rPr>
            </w:pPr>
            <w:r>
              <w:rPr>
                <w:b/>
                <w:bCs/>
              </w:rPr>
              <w:t xml:space="preserve">3-RASHODI POSLOVANJA- </w:t>
            </w:r>
            <w:r w:rsidR="007872C6">
              <w:rPr>
                <w:b/>
                <w:bCs/>
              </w:rPr>
              <w:t xml:space="preserve"> </w:t>
            </w:r>
            <w:r w:rsidR="007872C6" w:rsidRPr="007872C6">
              <w:rPr>
                <w:bCs/>
              </w:rPr>
              <w:t>iznose</w:t>
            </w:r>
            <w:r w:rsidR="007872C6">
              <w:rPr>
                <w:b/>
                <w:bCs/>
              </w:rPr>
              <w:t xml:space="preserve"> </w:t>
            </w:r>
            <w:r w:rsidR="004845ED">
              <w:rPr>
                <w:b/>
                <w:bCs/>
              </w:rPr>
              <w:t>2.089.492,21</w:t>
            </w:r>
            <w:r w:rsidR="007711E9">
              <w:rPr>
                <w:bCs/>
              </w:rPr>
              <w:t xml:space="preserve"> EUR</w:t>
            </w:r>
            <w:r w:rsidR="007872C6">
              <w:rPr>
                <w:bCs/>
              </w:rPr>
              <w:t xml:space="preserve"> </w:t>
            </w:r>
            <w:r w:rsidR="007872C6">
              <w:t>a sastoji se od:</w:t>
            </w:r>
          </w:p>
          <w:p w14:paraId="77B4FBA2" w14:textId="7CA489B9" w:rsidR="00BF2016" w:rsidRDefault="00BF2016" w:rsidP="007A77BD">
            <w:pPr>
              <w:rPr>
                <w:bCs/>
              </w:rPr>
            </w:pPr>
            <w:r>
              <w:rPr>
                <w:b/>
                <w:bCs/>
              </w:rPr>
              <w:t>31- Rashodi za zaposlene-</w:t>
            </w:r>
            <w:r w:rsidR="00EA16A7">
              <w:rPr>
                <w:bCs/>
              </w:rPr>
              <w:t xml:space="preserve"> </w:t>
            </w:r>
            <w:r w:rsidR="004845ED">
              <w:rPr>
                <w:bCs/>
              </w:rPr>
              <w:t>516.909,98</w:t>
            </w:r>
            <w:r w:rsidR="007711E9">
              <w:rPr>
                <w:bCs/>
              </w:rPr>
              <w:t xml:space="preserve"> </w:t>
            </w:r>
            <w:r w:rsidR="007711E9" w:rsidRPr="004845ED">
              <w:rPr>
                <w:bCs/>
              </w:rPr>
              <w:t>EUR</w:t>
            </w:r>
            <w:r w:rsidRPr="004845ED">
              <w:rPr>
                <w:bCs/>
              </w:rPr>
              <w:t xml:space="preserve"> </w:t>
            </w:r>
            <w:r w:rsidR="004845ED" w:rsidRPr="004845ED">
              <w:rPr>
                <w:bCs/>
              </w:rPr>
              <w:t>povećani</w:t>
            </w:r>
            <w:r w:rsidRPr="004845ED">
              <w:rPr>
                <w:bCs/>
              </w:rPr>
              <w:t xml:space="preserve"> su</w:t>
            </w:r>
            <w:r w:rsidRPr="00BF2016">
              <w:rPr>
                <w:bCs/>
              </w:rPr>
              <w:t xml:space="preserve"> u odnosu na prethodnu godinu </w:t>
            </w:r>
            <w:r w:rsidR="007711E9">
              <w:rPr>
                <w:bCs/>
              </w:rPr>
              <w:t>za</w:t>
            </w:r>
            <w:r w:rsidR="004845ED">
              <w:rPr>
                <w:bCs/>
              </w:rPr>
              <w:t xml:space="preserve"> 37,8</w:t>
            </w:r>
            <w:r w:rsidR="00EA16A7">
              <w:rPr>
                <w:bCs/>
              </w:rPr>
              <w:t xml:space="preserve"> %</w:t>
            </w:r>
            <w:r w:rsidR="004845ED">
              <w:rPr>
                <w:bCs/>
              </w:rPr>
              <w:t xml:space="preserve"> zbog povećanja plaća i plaća za projekt Zaželi.</w:t>
            </w:r>
          </w:p>
          <w:p w14:paraId="75267C45" w14:textId="209FC941" w:rsidR="00BF2016" w:rsidRDefault="00BF2016" w:rsidP="004845ED">
            <w:pPr>
              <w:rPr>
                <w:bCs/>
              </w:rPr>
            </w:pPr>
            <w:r>
              <w:rPr>
                <w:b/>
                <w:bCs/>
              </w:rPr>
              <w:t xml:space="preserve">32-Materijalni rashodi- </w:t>
            </w:r>
            <w:r w:rsidRPr="00BF2016">
              <w:rPr>
                <w:bCs/>
              </w:rPr>
              <w:t xml:space="preserve">iznose </w:t>
            </w:r>
            <w:r w:rsidR="004845ED">
              <w:rPr>
                <w:bCs/>
              </w:rPr>
              <w:t>983.271,83</w:t>
            </w:r>
            <w:r w:rsidR="007711E9">
              <w:rPr>
                <w:bCs/>
              </w:rPr>
              <w:t xml:space="preserve"> EUR</w:t>
            </w:r>
            <w:r w:rsidR="00F804B5">
              <w:rPr>
                <w:bCs/>
              </w:rPr>
              <w:t xml:space="preserve"> </w:t>
            </w:r>
          </w:p>
          <w:p w14:paraId="660ACFB9" w14:textId="6AC5B5FC" w:rsidR="00344C3F" w:rsidRDefault="00BF2016" w:rsidP="007A77BD">
            <w:r w:rsidRPr="0037521E">
              <w:rPr>
                <w:b/>
                <w:bCs/>
              </w:rPr>
              <w:t>34</w:t>
            </w:r>
            <w:r w:rsidRPr="00A65A0F">
              <w:t xml:space="preserve">- </w:t>
            </w:r>
            <w:r w:rsidRPr="00BF2016">
              <w:rPr>
                <w:b/>
              </w:rPr>
              <w:t>Financijski rashodi</w:t>
            </w:r>
            <w:r>
              <w:t xml:space="preserve"> iznose </w:t>
            </w:r>
            <w:r w:rsidR="004845ED">
              <w:t>60.523,03</w:t>
            </w:r>
            <w:r w:rsidR="00344C3F">
              <w:t xml:space="preserve"> </w:t>
            </w:r>
            <w:proofErr w:type="spellStart"/>
            <w:r w:rsidR="00344C3F">
              <w:t>eur</w:t>
            </w:r>
            <w:proofErr w:type="spellEnd"/>
            <w:r w:rsidR="00344C3F">
              <w:t xml:space="preserve">. Ovi troškovi odnose se na plaćanje kamate za kredit kod Zagrebačke banke – </w:t>
            </w:r>
            <w:r w:rsidR="004845ED">
              <w:t>DVD</w:t>
            </w:r>
            <w:r w:rsidR="00344C3F">
              <w:t xml:space="preserve"> i vrtić.</w:t>
            </w:r>
            <w:r w:rsidR="004845ED">
              <w:t xml:space="preserve"> Povećanje za 74,6% u odnosu na prošlu godinu zbog plaćanja kamata.</w:t>
            </w:r>
          </w:p>
          <w:p w14:paraId="7BB46086" w14:textId="567CAF7C" w:rsidR="00871816" w:rsidRPr="00871816" w:rsidRDefault="00871816" w:rsidP="007A77BD">
            <w:pPr>
              <w:rPr>
                <w:bCs/>
              </w:rPr>
            </w:pPr>
            <w:r w:rsidRPr="00871816">
              <w:rPr>
                <w:b/>
              </w:rPr>
              <w:t>36 – Pomoći dane unutar općeg proračuna</w:t>
            </w:r>
            <w:r>
              <w:rPr>
                <w:b/>
              </w:rPr>
              <w:t xml:space="preserve"> </w:t>
            </w:r>
            <w:r>
              <w:t xml:space="preserve">iznose </w:t>
            </w:r>
            <w:r w:rsidR="00344C3F">
              <w:t>2</w:t>
            </w:r>
            <w:r w:rsidR="004845ED">
              <w:t>69.730,77</w:t>
            </w:r>
            <w:r w:rsidR="00344C3F">
              <w:t xml:space="preserve"> </w:t>
            </w:r>
            <w:proofErr w:type="spellStart"/>
            <w:r w:rsidR="00344C3F">
              <w:t>eur</w:t>
            </w:r>
            <w:proofErr w:type="spellEnd"/>
            <w:r w:rsidR="00344C3F">
              <w:t>.</w:t>
            </w:r>
            <w:r w:rsidR="00154CD9">
              <w:t xml:space="preserve"> </w:t>
            </w:r>
            <w:r w:rsidR="00344C3F">
              <w:t>Unutar ove skupine imamo konto 367 – prijenosi proračunskom korisniku – Dječji vrtić Čarobni svijet u Rešetarima – za financiranje redovne djelatnosti izdvojili smo 2</w:t>
            </w:r>
            <w:r w:rsidR="004845ED">
              <w:t>47.540,07</w:t>
            </w:r>
            <w:r w:rsidR="00344C3F">
              <w:t xml:space="preserve"> eur ( troškovi za plaće, naknade za upravno vijeće, ostale naknade zaposlenima ) i za financiranje rashoda za nabavu nefinancijske imovine izdvojili smo </w:t>
            </w:r>
            <w:r w:rsidR="004845ED">
              <w:t>7.571,82</w:t>
            </w:r>
            <w:r w:rsidR="00344C3F">
              <w:t xml:space="preserve"> eur ( sredstva za kuhinju i projektnu dokumentaciju Tesla – za sunčanu elektranu ).</w:t>
            </w:r>
          </w:p>
          <w:p w14:paraId="517BA89B" w14:textId="58232F3C" w:rsidR="00BF2016" w:rsidRDefault="00BF2016" w:rsidP="007A77BD">
            <w:pPr>
              <w:rPr>
                <w:bCs/>
              </w:rPr>
            </w:pPr>
            <w:r>
              <w:rPr>
                <w:b/>
              </w:rPr>
              <w:t xml:space="preserve">37-Naknade građanima i kućanstvima na temelju osiguranja i druge naknade- </w:t>
            </w:r>
            <w:r w:rsidR="004845ED">
              <w:t>39.687,42</w:t>
            </w:r>
            <w:r w:rsidR="00344C3F">
              <w:t xml:space="preserve"> eur Unutar ove skupine knjiženi su troškovi za nabavku udžebnika, pomoći obiteljima slabijeg imovinskog statusa, pomoć za liječenje, stipendije učenicima i studentima te pomoć za novorođeno dijete i nabava paketa za novorođeno dijete.</w:t>
            </w:r>
            <w:r w:rsidR="00C32EDF">
              <w:t xml:space="preserve"> </w:t>
            </w:r>
          </w:p>
          <w:p w14:paraId="19C6C1EF" w14:textId="77777777" w:rsidR="003325F3" w:rsidRDefault="00BF2016" w:rsidP="00C32EDF">
            <w:r>
              <w:rPr>
                <w:b/>
              </w:rPr>
              <w:t xml:space="preserve">38- ostali rashodi- </w:t>
            </w:r>
            <w:r w:rsidR="004845ED">
              <w:t>219.369,18</w:t>
            </w:r>
            <w:r w:rsidR="00C32EDF">
              <w:t xml:space="preserve"> </w:t>
            </w:r>
            <w:proofErr w:type="spellStart"/>
            <w:r w:rsidR="00C32EDF">
              <w:t>eur</w:t>
            </w:r>
            <w:proofErr w:type="spellEnd"/>
            <w:r w:rsidR="003325F3">
              <w:t xml:space="preserve"> Povećanje za</w:t>
            </w:r>
            <w:r w:rsidR="00C32EDF">
              <w:t xml:space="preserve"> </w:t>
            </w:r>
            <w:r w:rsidR="003325F3">
              <w:t>38,5</w:t>
            </w:r>
            <w:r w:rsidR="00C32EDF">
              <w:t xml:space="preserve">% u usporedbi sa prošlom godinom. </w:t>
            </w:r>
          </w:p>
          <w:p w14:paraId="659DAF60" w14:textId="3D1C428A" w:rsidR="003325F3" w:rsidRDefault="003325F3" w:rsidP="00C32EDF">
            <w:r>
              <w:t>Veći broj tekućih donacija tijekom 2024. godine, u usporedbi sa prošlom godinom.</w:t>
            </w:r>
          </w:p>
          <w:p w14:paraId="5D90C66F" w14:textId="28259549" w:rsidR="00BF2016" w:rsidRPr="00BF2016" w:rsidRDefault="00BF2016" w:rsidP="00C32EDF">
            <w:pPr>
              <w:rPr>
                <w:bCs/>
              </w:rPr>
            </w:pPr>
          </w:p>
        </w:tc>
      </w:tr>
      <w:tr w:rsidR="007A77BD" w14:paraId="59CC0E7C" w14:textId="77777777" w:rsidTr="00123EF9">
        <w:tc>
          <w:tcPr>
            <w:tcW w:w="9062" w:type="dxa"/>
          </w:tcPr>
          <w:p w14:paraId="1126831D" w14:textId="798A22EE" w:rsidR="00154CD9" w:rsidRDefault="00BF2016" w:rsidP="007A77BD">
            <w:r>
              <w:rPr>
                <w:b/>
              </w:rPr>
              <w:t xml:space="preserve">4- RASHODI ZA NABAVU NEFINANCIJSKE IMOVINE- </w:t>
            </w:r>
            <w:r w:rsidR="007872C6" w:rsidRPr="007872C6">
              <w:t xml:space="preserve">iznose </w:t>
            </w:r>
            <w:r w:rsidR="003325F3">
              <w:t>952.662,85</w:t>
            </w:r>
            <w:r w:rsidR="00C32EDF">
              <w:t xml:space="preserve"> EUR</w:t>
            </w:r>
            <w:r w:rsidR="007872C6">
              <w:t xml:space="preserve"> a sastoji se od:</w:t>
            </w:r>
          </w:p>
          <w:p w14:paraId="0D80AF74" w14:textId="03CC6878" w:rsidR="00154CD9" w:rsidRDefault="003325F3" w:rsidP="007A77BD">
            <w:r>
              <w:t>Povećani</w:t>
            </w:r>
            <w:r w:rsidR="00154CD9">
              <w:t xml:space="preserve"> su rashodi za na</w:t>
            </w:r>
            <w:r w:rsidR="00851141">
              <w:t xml:space="preserve">bavu nefinancijske imovine </w:t>
            </w:r>
            <w:r w:rsidR="00C32EDF">
              <w:t>5</w:t>
            </w:r>
            <w:r>
              <w:t>9</w:t>
            </w:r>
            <w:r w:rsidR="00C32EDF">
              <w:t>,</w:t>
            </w:r>
            <w:r>
              <w:t>3</w:t>
            </w:r>
            <w:r w:rsidR="00C32EDF">
              <w:t>0%</w:t>
            </w:r>
            <w:r w:rsidR="00154CD9">
              <w:t xml:space="preserve"> zbog </w:t>
            </w:r>
            <w:r>
              <w:t>većeg</w:t>
            </w:r>
            <w:r w:rsidR="00154CD9">
              <w:t xml:space="preserve"> ulaganja u poslovne objekte, ceste, postrojenja i opremu</w:t>
            </w:r>
            <w:r w:rsidR="00C32EDF">
              <w:t xml:space="preserve"> u usporedbi s 202</w:t>
            </w:r>
            <w:r>
              <w:t>3</w:t>
            </w:r>
            <w:r w:rsidR="001A5681">
              <w:t>. godinom.</w:t>
            </w:r>
          </w:p>
          <w:p w14:paraId="7A3D1479" w14:textId="6B534F39" w:rsidR="00BF2016" w:rsidRDefault="00BF2016" w:rsidP="007A77BD">
            <w:r>
              <w:rPr>
                <w:b/>
              </w:rPr>
              <w:t xml:space="preserve">41- Rashodi za nabavu neproizvedene dugotrajne imovine- </w:t>
            </w:r>
            <w:r w:rsidR="003325F3">
              <w:rPr>
                <w:b/>
              </w:rPr>
              <w:t>20.900,00</w:t>
            </w:r>
            <w:r w:rsidR="00C32EDF">
              <w:t xml:space="preserve"> EUR Tijekom 202</w:t>
            </w:r>
            <w:r w:rsidR="003325F3">
              <w:t>4</w:t>
            </w:r>
            <w:r w:rsidR="00C32EDF">
              <w:t>. godine općina je</w:t>
            </w:r>
            <w:r w:rsidR="003325F3">
              <w:t xml:space="preserve"> </w:t>
            </w:r>
            <w:r w:rsidR="00C32EDF">
              <w:t xml:space="preserve">kupila zemljišta za potrebe izgradnje </w:t>
            </w:r>
            <w:r w:rsidR="003325F3">
              <w:t>sportskog centra i druge potrebe.</w:t>
            </w:r>
          </w:p>
          <w:p w14:paraId="24CAEB61" w14:textId="114A5E23" w:rsidR="00BF2016" w:rsidRDefault="00BF2016" w:rsidP="007A77BD">
            <w:r w:rsidRPr="00BF2016">
              <w:rPr>
                <w:b/>
              </w:rPr>
              <w:t>42-</w:t>
            </w:r>
            <w:r>
              <w:rPr>
                <w:b/>
              </w:rPr>
              <w:t xml:space="preserve"> Rashodi za nabavu proizvedene dugotrajne imovine- </w:t>
            </w:r>
            <w:r w:rsidR="003325F3">
              <w:t>607.489,41</w:t>
            </w:r>
            <w:r w:rsidR="00DD0351">
              <w:t xml:space="preserve"> EUR </w:t>
            </w:r>
          </w:p>
          <w:p w14:paraId="32DD876B" w14:textId="6AC2277C" w:rsidR="00DD0351" w:rsidRDefault="00DD0351" w:rsidP="007A77BD">
            <w:r w:rsidRPr="00DD0351">
              <w:rPr>
                <w:b/>
              </w:rPr>
              <w:t xml:space="preserve">421 </w:t>
            </w:r>
            <w:r>
              <w:t>–</w:t>
            </w:r>
            <w:r w:rsidR="003325F3">
              <w:t xml:space="preserve"> Povećanja u usporedbi sa 2023. godinom za 23,7% zbog ulaganja u uređenje zgrade za komunalni pogon, uređenje prostorija općine – prostor za potrebe rada udruga, rekonstrukcija </w:t>
            </w:r>
            <w:r w:rsidR="003325F3">
              <w:lastRenderedPageBreak/>
              <w:t xml:space="preserve">ceste, uređenje pozornice za koncerte i događanja, izgradnja dječjeg vrtića u </w:t>
            </w:r>
            <w:proofErr w:type="spellStart"/>
            <w:r w:rsidR="003325F3">
              <w:t>Adžamovcima</w:t>
            </w:r>
            <w:proofErr w:type="spellEnd"/>
            <w:r w:rsidR="00626372">
              <w:t>, sudski polog za kuću preko puta općine te rekonstrukcija nogostupa u Ulici Braće Radića u Rešetarima.</w:t>
            </w:r>
          </w:p>
          <w:p w14:paraId="781AF560" w14:textId="7B0F260F" w:rsidR="00DD0351" w:rsidRDefault="00DD0351" w:rsidP="007A77BD">
            <w:r w:rsidRPr="00DD0351">
              <w:rPr>
                <w:b/>
              </w:rPr>
              <w:t>422</w:t>
            </w:r>
            <w:r>
              <w:t>- Postrojenja i oprema –</w:t>
            </w:r>
            <w:r w:rsidR="00626372">
              <w:t xml:space="preserve">136.188,50 </w:t>
            </w:r>
            <w:proofErr w:type="spellStart"/>
            <w:r>
              <w:t>eur</w:t>
            </w:r>
            <w:proofErr w:type="spellEnd"/>
            <w:r>
              <w:t xml:space="preserve"> u usporedbi sa prošlom godinu troškovi su povećani za </w:t>
            </w:r>
            <w:r w:rsidR="00626372">
              <w:t>246,80</w:t>
            </w:r>
            <w:r>
              <w:t xml:space="preserve">%. </w:t>
            </w:r>
            <w:r w:rsidR="00626372">
              <w:t xml:space="preserve">Veliko povećanje zbog kupnje opreme za komunalni otpad – kante, kupnja klima te uredskog namještaja i opreme. </w:t>
            </w:r>
          </w:p>
          <w:p w14:paraId="57F47455" w14:textId="17AD5E0C" w:rsidR="00626372" w:rsidRDefault="00626372" w:rsidP="007A77BD">
            <w:r w:rsidRPr="00626372">
              <w:rPr>
                <w:b/>
                <w:bCs/>
              </w:rPr>
              <w:t>423</w:t>
            </w:r>
            <w:r w:rsidRPr="00626372">
              <w:t xml:space="preserve"> – Prijevozna sredstva</w:t>
            </w:r>
            <w:r>
              <w:t xml:space="preserve"> – 100.085,99 </w:t>
            </w:r>
            <w:proofErr w:type="spellStart"/>
            <w:r>
              <w:t>eur</w:t>
            </w:r>
            <w:proofErr w:type="spellEnd"/>
            <w:r>
              <w:t xml:space="preserve"> Tijekom 2024. godine kupljen je novi traktor za komunalni pogon te službeni automobil.</w:t>
            </w:r>
          </w:p>
          <w:p w14:paraId="31496D5E" w14:textId="4959A26B" w:rsidR="00DD0351" w:rsidRDefault="00DD0351" w:rsidP="007A77BD">
            <w:r w:rsidRPr="00DD0351">
              <w:rPr>
                <w:b/>
              </w:rPr>
              <w:t>426-</w:t>
            </w:r>
            <w:r>
              <w:t xml:space="preserve"> </w:t>
            </w:r>
            <w:r w:rsidR="00626372">
              <w:t>100.203,61</w:t>
            </w:r>
            <w:r>
              <w:t xml:space="preserve"> eur Povećanje u iznosu od 1</w:t>
            </w:r>
            <w:r w:rsidR="00626372">
              <w:t>65,90</w:t>
            </w:r>
            <w:r>
              <w:t>%. U okviru ove skupine spadaju troškovi projekt</w:t>
            </w:r>
            <w:r w:rsidR="00626372">
              <w:t>ne</w:t>
            </w:r>
            <w:r>
              <w:t xml:space="preserve"> dokumentacij</w:t>
            </w:r>
            <w:r w:rsidR="00626372">
              <w:t>e</w:t>
            </w:r>
            <w:r>
              <w:t xml:space="preserve"> za </w:t>
            </w:r>
            <w:r w:rsidR="00626372">
              <w:t xml:space="preserve">spojnu cestu, Centar mladih, pješački most u Rešetarima, pješački most u </w:t>
            </w:r>
            <w:proofErr w:type="spellStart"/>
            <w:r w:rsidR="00626372">
              <w:t>Adžamovcima</w:t>
            </w:r>
            <w:proofErr w:type="spellEnd"/>
            <w:r w:rsidR="00626372">
              <w:t>, legalizacija objekata, dokumenti Prostornog uređenja i elaborat zaštite okoliša.</w:t>
            </w:r>
          </w:p>
          <w:p w14:paraId="0361FD56" w14:textId="1EDFB799" w:rsidR="00C70269" w:rsidRDefault="00C70269" w:rsidP="00DD0351">
            <w:r w:rsidRPr="00C70269">
              <w:rPr>
                <w:b/>
              </w:rPr>
              <w:t xml:space="preserve">45-Rashodi za dodatna ulaganja </w:t>
            </w:r>
            <w:proofErr w:type="spellStart"/>
            <w:r w:rsidRPr="00C70269">
              <w:rPr>
                <w:b/>
              </w:rPr>
              <w:t>nanefinancijskoj</w:t>
            </w:r>
            <w:proofErr w:type="spellEnd"/>
            <w:r w:rsidRPr="00C70269">
              <w:rPr>
                <w:b/>
              </w:rPr>
              <w:t xml:space="preserve"> imovini-</w:t>
            </w:r>
            <w:r>
              <w:t xml:space="preserve"> </w:t>
            </w:r>
            <w:r w:rsidR="00626372">
              <w:t>324.273,44</w:t>
            </w:r>
            <w:r w:rsidR="00DD0351">
              <w:t xml:space="preserve"> </w:t>
            </w:r>
            <w:proofErr w:type="spellStart"/>
            <w:r w:rsidR="00DD0351">
              <w:t>eur</w:t>
            </w:r>
            <w:proofErr w:type="spellEnd"/>
          </w:p>
          <w:p w14:paraId="2405C31A" w14:textId="77777777" w:rsidR="00DD0351" w:rsidRDefault="00DD0351" w:rsidP="00DD0351">
            <w:r>
              <w:t xml:space="preserve">Ovi troškovi u usporedbi sa prošlim razdobljem povećani su za </w:t>
            </w:r>
            <w:r w:rsidR="00626372">
              <w:t>12</w:t>
            </w:r>
            <w:r w:rsidR="00F17735">
              <w:t xml:space="preserve">%. </w:t>
            </w:r>
          </w:p>
          <w:p w14:paraId="6F1A2A0C" w14:textId="77173869" w:rsidR="00626372" w:rsidRPr="00BF2016" w:rsidRDefault="00626372" w:rsidP="00DD0351"/>
        </w:tc>
      </w:tr>
      <w:tr w:rsidR="00BF2016" w14:paraId="6A5B3569" w14:textId="77777777" w:rsidTr="00123EF9">
        <w:tc>
          <w:tcPr>
            <w:tcW w:w="9062" w:type="dxa"/>
          </w:tcPr>
          <w:p w14:paraId="57851117" w14:textId="30C94F08" w:rsidR="00BF2016" w:rsidRDefault="00C70269" w:rsidP="007A77BD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>5- IZDACI ZA FINANCIJSKU IMOVINU I OTPLATE ZAJMOVA</w:t>
            </w:r>
            <w:r w:rsidR="00851141">
              <w:rPr>
                <w:bCs/>
              </w:rPr>
              <w:t>-</w:t>
            </w:r>
            <w:r w:rsidR="00F17735">
              <w:rPr>
                <w:bCs/>
              </w:rPr>
              <w:t xml:space="preserve"> 1</w:t>
            </w:r>
            <w:r w:rsidR="00626372">
              <w:rPr>
                <w:bCs/>
              </w:rPr>
              <w:t>31.592,70</w:t>
            </w:r>
            <w:r w:rsidR="00F17735">
              <w:rPr>
                <w:bCs/>
              </w:rPr>
              <w:t xml:space="preserve"> EUR</w:t>
            </w:r>
          </w:p>
          <w:p w14:paraId="60631D1D" w14:textId="7AC461AC" w:rsidR="00C70269" w:rsidRDefault="00C70269" w:rsidP="00F17735">
            <w:pPr>
              <w:rPr>
                <w:bCs/>
              </w:rPr>
            </w:pPr>
            <w:r w:rsidRPr="00C70269">
              <w:rPr>
                <w:b/>
                <w:bCs/>
              </w:rPr>
              <w:t>54- Izdaci za otplatu glavnice primljenih kredita i zajmova-</w:t>
            </w:r>
            <w:r>
              <w:rPr>
                <w:bCs/>
              </w:rPr>
              <w:t xml:space="preserve"> </w:t>
            </w:r>
            <w:r w:rsidR="00626372">
              <w:rPr>
                <w:bCs/>
              </w:rPr>
              <w:t>131.592,70</w:t>
            </w:r>
            <w:r w:rsidR="00F17735">
              <w:rPr>
                <w:bCs/>
              </w:rPr>
              <w:t xml:space="preserve"> EUR</w:t>
            </w:r>
          </w:p>
          <w:p w14:paraId="7F293174" w14:textId="1295A470" w:rsidR="00F17735" w:rsidRDefault="00F17735" w:rsidP="00F17735">
            <w:pPr>
              <w:rPr>
                <w:b/>
                <w:bCs/>
              </w:rPr>
            </w:pPr>
            <w:r>
              <w:rPr>
                <w:bCs/>
              </w:rPr>
              <w:t xml:space="preserve">Otplata kredita kod Zagrebačke </w:t>
            </w:r>
            <w:r w:rsidR="00715AE6">
              <w:rPr>
                <w:bCs/>
              </w:rPr>
              <w:t xml:space="preserve">banke. </w:t>
            </w:r>
          </w:p>
        </w:tc>
      </w:tr>
      <w:tr w:rsidR="00AA6F71" w14:paraId="25643D64" w14:textId="77777777" w:rsidTr="00123EF9">
        <w:tc>
          <w:tcPr>
            <w:tcW w:w="9062" w:type="dxa"/>
          </w:tcPr>
          <w:p w14:paraId="2B8F4E79" w14:textId="0ADA35CD" w:rsidR="00AA6F71" w:rsidRDefault="00F17735" w:rsidP="00F17735">
            <w:pPr>
              <w:rPr>
                <w:bCs/>
              </w:rPr>
            </w:pPr>
            <w:r>
              <w:rPr>
                <w:b/>
                <w:bCs/>
              </w:rPr>
              <w:t>9221-9222 - preneseni</w:t>
            </w:r>
            <w:r w:rsidR="00AA6F71">
              <w:rPr>
                <w:b/>
                <w:bCs/>
              </w:rPr>
              <w:t xml:space="preserve"> </w:t>
            </w:r>
            <w:r w:rsidR="00715AE6">
              <w:rPr>
                <w:bCs/>
              </w:rPr>
              <w:t>Manjak prihoda i primitaka u iznosu 2.114,61 EUR</w:t>
            </w:r>
          </w:p>
          <w:p w14:paraId="1559376F" w14:textId="1288CA30" w:rsidR="00715AE6" w:rsidRDefault="00715AE6" w:rsidP="00F17735">
            <w:pPr>
              <w:rPr>
                <w:bCs/>
              </w:rPr>
            </w:pPr>
            <w:r>
              <w:rPr>
                <w:bCs/>
              </w:rPr>
              <w:t xml:space="preserve">Tijekom godine provedena je Odluka o raspodjeli rezultata poslovanja za 2023. godinu. Na kraju godine ustanovilo se da je došlo do greške u knjiženju na dan 31.12.2019. godine u iznosu od 55.949,47 EUR. Ispravak se napravio u 2024. godini , što je utjecalo na pozitivnu promjenu rezultata poslovanja, odnosno smanjilo manjak od nefinancijske imovine. Na 31.12.2024. otpisana je obveza prema dobavljaču u iznosu 5.982,14 EUR zbog zastare što je također uzrokovalo smanjenje manjka od nefinancijske imovine. Do sad je u rez poslovanja bio prikazan i rezultat poslovanja dječjeg vrtića, što nije ispravno na razini </w:t>
            </w:r>
            <w:r w:rsidR="00075F60">
              <w:rPr>
                <w:bCs/>
              </w:rPr>
              <w:t xml:space="preserve">izvještaja </w:t>
            </w:r>
            <w:r>
              <w:rPr>
                <w:bCs/>
              </w:rPr>
              <w:t xml:space="preserve">22. Iz toga razloga je toliko smanjenje manjka rezultata poslovanja. </w:t>
            </w:r>
          </w:p>
          <w:p w14:paraId="2CC572CF" w14:textId="77777777" w:rsidR="00F17735" w:rsidRDefault="00F17735" w:rsidP="00F17735">
            <w:pPr>
              <w:rPr>
                <w:b/>
                <w:bCs/>
              </w:rPr>
            </w:pPr>
          </w:p>
          <w:p w14:paraId="475C301B" w14:textId="77777777" w:rsidR="00715AE6" w:rsidRDefault="00715AE6" w:rsidP="00F17735">
            <w:pPr>
              <w:rPr>
                <w:b/>
                <w:bCs/>
              </w:rPr>
            </w:pPr>
            <w:r>
              <w:rPr>
                <w:b/>
                <w:bCs/>
              </w:rPr>
              <w:t>X006 Višak prihoda i primitaka raspoloživ u sljedećem razdoblju : 173.226,03 EUR</w:t>
            </w:r>
          </w:p>
          <w:p w14:paraId="29101570" w14:textId="77777777" w:rsidR="00715AE6" w:rsidRDefault="00715AE6" w:rsidP="00F17735">
            <w:pPr>
              <w:rPr>
                <w:b/>
                <w:bCs/>
              </w:rPr>
            </w:pPr>
          </w:p>
          <w:p w14:paraId="09D448D9" w14:textId="77777777" w:rsidR="00715AE6" w:rsidRDefault="00715AE6" w:rsidP="00F17735">
            <w:pPr>
              <w:rPr>
                <w:b/>
                <w:bCs/>
              </w:rPr>
            </w:pPr>
            <w:r>
              <w:rPr>
                <w:b/>
                <w:bCs/>
              </w:rPr>
              <w:t>Rezultat tekuće godine: 175.340,64 EUR</w:t>
            </w:r>
          </w:p>
          <w:p w14:paraId="680C4703" w14:textId="77777777" w:rsidR="00715AE6" w:rsidRDefault="00715AE6" w:rsidP="00F17735">
            <w:pPr>
              <w:rPr>
                <w:b/>
                <w:bCs/>
              </w:rPr>
            </w:pPr>
            <w:r>
              <w:rPr>
                <w:b/>
                <w:bCs/>
              </w:rPr>
              <w:t>Manjak prihoda i primitaka – preneseni : - 2.114,61 EUR</w:t>
            </w:r>
          </w:p>
          <w:p w14:paraId="111D2013" w14:textId="02EDF6F8" w:rsidR="00715AE6" w:rsidRPr="00F17735" w:rsidRDefault="00715AE6" w:rsidP="00F17735">
            <w:pPr>
              <w:rPr>
                <w:b/>
                <w:bCs/>
              </w:rPr>
            </w:pPr>
          </w:p>
        </w:tc>
      </w:tr>
    </w:tbl>
    <w:p w14:paraId="4AC3D3C0" w14:textId="77777777" w:rsidR="001A5681" w:rsidRDefault="001A5681" w:rsidP="00E951B9">
      <w:pPr>
        <w:rPr>
          <w:b/>
          <w:u w:val="single"/>
        </w:rPr>
      </w:pPr>
    </w:p>
    <w:p w14:paraId="60A53AB7" w14:textId="77777777" w:rsidR="00885F93" w:rsidRDefault="00885F93" w:rsidP="00E951B9"/>
    <w:p w14:paraId="0347BB42" w14:textId="77777777" w:rsidR="003C1632" w:rsidRDefault="003C1632" w:rsidP="00E951B9"/>
    <w:p w14:paraId="71E78613" w14:textId="77777777" w:rsidR="003C1632" w:rsidRDefault="003C1632" w:rsidP="00E951B9"/>
    <w:p w14:paraId="5A0F8276" w14:textId="77777777" w:rsidR="003C1632" w:rsidRDefault="003C1632" w:rsidP="00E951B9"/>
    <w:p w14:paraId="1FB9CA42" w14:textId="77777777" w:rsidR="00715AE6" w:rsidRDefault="00715AE6" w:rsidP="00E951B9"/>
    <w:p w14:paraId="15BEA8D1" w14:textId="77777777" w:rsidR="00715AE6" w:rsidRDefault="00715AE6" w:rsidP="00E951B9"/>
    <w:p w14:paraId="2F80BADE" w14:textId="77777777" w:rsidR="00715AE6" w:rsidRDefault="00715AE6" w:rsidP="00E951B9"/>
    <w:p w14:paraId="6C9C1565" w14:textId="77777777" w:rsidR="00715AE6" w:rsidRDefault="00715AE6" w:rsidP="00E951B9"/>
    <w:p w14:paraId="49D52FBD" w14:textId="77777777" w:rsidR="00715AE6" w:rsidRDefault="00715AE6" w:rsidP="00E951B9"/>
    <w:p w14:paraId="01E00C9E" w14:textId="77777777" w:rsidR="00715AE6" w:rsidRDefault="00715AE6" w:rsidP="00E951B9"/>
    <w:p w14:paraId="200CC781" w14:textId="77777777" w:rsidR="003C1632" w:rsidRPr="001A5681" w:rsidRDefault="003C1632" w:rsidP="00E951B9"/>
    <w:p w14:paraId="4B3E86FD" w14:textId="547E25CE" w:rsidR="003C1632" w:rsidRPr="001A6209" w:rsidRDefault="003C1632" w:rsidP="003C1632">
      <w:pPr>
        <w:rPr>
          <w:b/>
          <w:u w:val="single"/>
        </w:rPr>
      </w:pPr>
      <w:r w:rsidRPr="001A6209">
        <w:rPr>
          <w:b/>
          <w:u w:val="single"/>
        </w:rPr>
        <w:lastRenderedPageBreak/>
        <w:t xml:space="preserve">BILJEŠKE UZ IZVJEŠTAJ </w:t>
      </w:r>
      <w:r>
        <w:rPr>
          <w:b/>
          <w:u w:val="single"/>
        </w:rPr>
        <w:t>BILANCA</w:t>
      </w:r>
      <w:r w:rsidRPr="001A6209">
        <w:rPr>
          <w:b/>
          <w:u w:val="single"/>
        </w:rPr>
        <w:t xml:space="preserve"> </w:t>
      </w:r>
    </w:p>
    <w:p w14:paraId="2C8E235B" w14:textId="77777777" w:rsidR="003C1632" w:rsidRDefault="003C1632" w:rsidP="003C163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1632" w14:paraId="677F1491" w14:textId="77777777" w:rsidTr="00CF5760">
        <w:tc>
          <w:tcPr>
            <w:tcW w:w="9062" w:type="dxa"/>
          </w:tcPr>
          <w:p w14:paraId="63EF1ED7" w14:textId="77777777" w:rsidR="003C1632" w:rsidRPr="001049B2" w:rsidRDefault="003C1632" w:rsidP="00CF5760">
            <w:pPr>
              <w:rPr>
                <w:b/>
              </w:rPr>
            </w:pPr>
            <w:r w:rsidRPr="001049B2">
              <w:rPr>
                <w:b/>
              </w:rPr>
              <w:t xml:space="preserve">OPIS </w:t>
            </w:r>
          </w:p>
        </w:tc>
      </w:tr>
      <w:tr w:rsidR="003C1632" w14:paraId="2DB2D0C9" w14:textId="77777777" w:rsidTr="00CF5760">
        <w:tc>
          <w:tcPr>
            <w:tcW w:w="9062" w:type="dxa"/>
          </w:tcPr>
          <w:p w14:paraId="1A32E61E" w14:textId="08557290" w:rsidR="003C1632" w:rsidRPr="00D31290" w:rsidRDefault="005E2E44" w:rsidP="007E01BC">
            <w:pPr>
              <w:rPr>
                <w:b/>
              </w:rPr>
            </w:pPr>
            <w:r w:rsidRPr="00D31290">
              <w:rPr>
                <w:b/>
                <w:bCs/>
              </w:rPr>
              <w:t>B</w:t>
            </w:r>
            <w:r w:rsidR="003C1632" w:rsidRPr="00D31290">
              <w:rPr>
                <w:b/>
                <w:bCs/>
              </w:rPr>
              <w:t>001</w:t>
            </w:r>
            <w:r w:rsidR="003C1632" w:rsidRPr="00D31290">
              <w:rPr>
                <w:b/>
              </w:rPr>
              <w:t>-</w:t>
            </w:r>
            <w:r w:rsidRPr="00D31290">
              <w:rPr>
                <w:b/>
              </w:rPr>
              <w:t xml:space="preserve"> IMOVINA- iznosi </w:t>
            </w:r>
            <w:r w:rsidR="003C1632" w:rsidRPr="00D31290">
              <w:rPr>
                <w:b/>
              </w:rPr>
              <w:t xml:space="preserve"> </w:t>
            </w:r>
            <w:r w:rsidR="007E01BC">
              <w:rPr>
                <w:b/>
              </w:rPr>
              <w:t>12.</w:t>
            </w:r>
            <w:r w:rsidR="00715AE6">
              <w:rPr>
                <w:b/>
              </w:rPr>
              <w:t>923.631,52</w:t>
            </w:r>
            <w:r w:rsidR="007E01BC">
              <w:rPr>
                <w:b/>
              </w:rPr>
              <w:t xml:space="preserve"> </w:t>
            </w:r>
            <w:proofErr w:type="spellStart"/>
            <w:r w:rsidR="007E01BC">
              <w:rPr>
                <w:b/>
              </w:rPr>
              <w:t>eur</w:t>
            </w:r>
            <w:proofErr w:type="spellEnd"/>
          </w:p>
        </w:tc>
      </w:tr>
      <w:tr w:rsidR="003C1632" w14:paraId="425E99E2" w14:textId="77777777" w:rsidTr="00CF5760">
        <w:tc>
          <w:tcPr>
            <w:tcW w:w="9062" w:type="dxa"/>
          </w:tcPr>
          <w:p w14:paraId="37C7A223" w14:textId="1020815B" w:rsidR="003C1632" w:rsidRPr="005E2E44" w:rsidRDefault="005E2E44" w:rsidP="00CF5760">
            <w:pPr>
              <w:rPr>
                <w:b/>
              </w:rPr>
            </w:pPr>
            <w:r w:rsidRPr="005E2E44">
              <w:rPr>
                <w:b/>
                <w:bCs/>
              </w:rPr>
              <w:t>B002</w:t>
            </w:r>
            <w:r w:rsidRPr="005E2E44">
              <w:rPr>
                <w:b/>
              </w:rPr>
              <w:t>-NEFINANCIJSKA IMOVINA</w:t>
            </w:r>
            <w:r w:rsidRPr="005E2E44">
              <w:t xml:space="preserve"> </w:t>
            </w:r>
            <w:r w:rsidRPr="00AA6F71">
              <w:t xml:space="preserve">iznosi </w:t>
            </w:r>
            <w:r w:rsidR="007E01BC">
              <w:t>10.</w:t>
            </w:r>
            <w:r w:rsidR="00715AE6">
              <w:t>962.491,87</w:t>
            </w:r>
            <w:r w:rsidR="007E01BC">
              <w:t xml:space="preserve"> </w:t>
            </w:r>
            <w:proofErr w:type="spellStart"/>
            <w:r w:rsidR="007E01BC">
              <w:t>eur</w:t>
            </w:r>
            <w:proofErr w:type="spellEnd"/>
            <w:r w:rsidR="00AA6F71">
              <w:t xml:space="preserve"> a sastoji se od: </w:t>
            </w:r>
          </w:p>
          <w:p w14:paraId="00A3E8AB" w14:textId="289A3A0B" w:rsidR="005E2E44" w:rsidRDefault="005E2E44" w:rsidP="00CF5760">
            <w:r w:rsidRPr="005E2E44">
              <w:rPr>
                <w:b/>
              </w:rPr>
              <w:t>01-</w:t>
            </w:r>
            <w:r>
              <w:t xml:space="preserve"> Neproizvedena dugotrajna imovina</w:t>
            </w:r>
            <w:r w:rsidR="00AA6F71">
              <w:t xml:space="preserve"> ostvarena je u iznosu od </w:t>
            </w:r>
            <w:r w:rsidR="007E01BC">
              <w:t>2.</w:t>
            </w:r>
            <w:r w:rsidR="00715AE6">
              <w:t>362.520,48</w:t>
            </w:r>
            <w:r w:rsidR="007E01BC">
              <w:t xml:space="preserve"> </w:t>
            </w:r>
            <w:proofErr w:type="spellStart"/>
            <w:r w:rsidR="007E01BC">
              <w:t>eur</w:t>
            </w:r>
            <w:proofErr w:type="spellEnd"/>
          </w:p>
          <w:p w14:paraId="42443ACD" w14:textId="446BF8F1" w:rsidR="005E2E44" w:rsidRDefault="005E2E44" w:rsidP="00CF5760">
            <w:r w:rsidRPr="005E2E44">
              <w:rPr>
                <w:b/>
              </w:rPr>
              <w:t>02-</w:t>
            </w:r>
            <w:r>
              <w:t xml:space="preserve"> Proizvedena dugotrajna imovina</w:t>
            </w:r>
            <w:r w:rsidR="00AA6F71">
              <w:t xml:space="preserve"> ostvarena je u iznosu od </w:t>
            </w:r>
            <w:r w:rsidR="007E01BC">
              <w:t>8.</w:t>
            </w:r>
            <w:r w:rsidR="00715AE6">
              <w:t>175.330,30</w:t>
            </w:r>
            <w:r w:rsidR="007E01BC">
              <w:t xml:space="preserve"> </w:t>
            </w:r>
            <w:proofErr w:type="spellStart"/>
            <w:r w:rsidR="007E01BC">
              <w:t>eur</w:t>
            </w:r>
            <w:proofErr w:type="spellEnd"/>
          </w:p>
          <w:p w14:paraId="7A452147" w14:textId="012CC321" w:rsidR="00501978" w:rsidRDefault="00501978" w:rsidP="00CF5760">
            <w:r w:rsidRPr="00501978">
              <w:rPr>
                <w:b/>
                <w:bCs/>
              </w:rPr>
              <w:t>05</w:t>
            </w:r>
            <w:r>
              <w:t xml:space="preserve"> -Dugotrajna nefinancijska imovina u pripremi ostvarena je u iznosu od 423.898,11 </w:t>
            </w:r>
            <w:proofErr w:type="spellStart"/>
            <w:r>
              <w:t>eur</w:t>
            </w:r>
            <w:proofErr w:type="spellEnd"/>
          </w:p>
          <w:p w14:paraId="18C48585" w14:textId="77777777" w:rsidR="005E2E44" w:rsidRDefault="005E2E44" w:rsidP="007E01BC">
            <w:r w:rsidRPr="005E2E44">
              <w:rPr>
                <w:b/>
              </w:rPr>
              <w:t>06-</w:t>
            </w:r>
            <w:r>
              <w:t xml:space="preserve"> Proizvedena kratkotrajna imovina</w:t>
            </w:r>
            <w:r w:rsidR="00AA6F71">
              <w:t xml:space="preserve"> ostvarena je u iznosu od </w:t>
            </w:r>
            <w:r w:rsidR="007E01BC">
              <w:t>742,98 eur</w:t>
            </w:r>
          </w:p>
          <w:p w14:paraId="1479E41D" w14:textId="77777777" w:rsidR="007E01BC" w:rsidRDefault="007E01BC" w:rsidP="007E01BC"/>
          <w:p w14:paraId="6D110E4D" w14:textId="0A52D33E" w:rsidR="007E01BC" w:rsidRPr="00231E79" w:rsidRDefault="007E01BC" w:rsidP="007E01BC">
            <w:pPr>
              <w:rPr>
                <w:bCs/>
              </w:rPr>
            </w:pPr>
            <w:r>
              <w:t>Tijekom godine provedena je inventura te isknjižena oprema prema listi inventurne komisije. Likvidacija se odnosi na stare</w:t>
            </w:r>
            <w:r w:rsidR="00501978">
              <w:t xml:space="preserve"> </w:t>
            </w:r>
            <w:r>
              <w:t>računala, uredski namještaj, ostala uredska oprema</w:t>
            </w:r>
            <w:r w:rsidR="00501978">
              <w:t xml:space="preserve"> </w:t>
            </w:r>
            <w:r>
              <w:t xml:space="preserve">i sitni inventar. Sva ta oprema uredno je zbrinuta i uništena. </w:t>
            </w:r>
          </w:p>
        </w:tc>
      </w:tr>
      <w:tr w:rsidR="003C1632" w14:paraId="059F8EE4" w14:textId="77777777" w:rsidTr="00CF5760">
        <w:tc>
          <w:tcPr>
            <w:tcW w:w="9062" w:type="dxa"/>
          </w:tcPr>
          <w:p w14:paraId="562A61B4" w14:textId="39BEFC03" w:rsidR="003C1632" w:rsidRPr="005E2E44" w:rsidRDefault="005E2E44" w:rsidP="005E2E44">
            <w:pPr>
              <w:rPr>
                <w:b/>
              </w:rPr>
            </w:pPr>
            <w:r w:rsidRPr="005E2E44">
              <w:rPr>
                <w:b/>
              </w:rPr>
              <w:t>1- FINANCIJSKA IMOVINA</w:t>
            </w:r>
            <w:r>
              <w:rPr>
                <w:b/>
              </w:rPr>
              <w:t xml:space="preserve"> </w:t>
            </w:r>
            <w:r w:rsidR="008E18B1">
              <w:t>iznosi 1.</w:t>
            </w:r>
            <w:r w:rsidR="00501978">
              <w:t>961.139,65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  <w:r w:rsidR="00AA6F71">
              <w:t xml:space="preserve"> sastoji se od:</w:t>
            </w:r>
          </w:p>
          <w:p w14:paraId="5316BE35" w14:textId="203CAF05" w:rsidR="005E2E44" w:rsidRDefault="005E2E44" w:rsidP="005E2E44">
            <w:r w:rsidRPr="005E2E44">
              <w:rPr>
                <w:b/>
              </w:rPr>
              <w:t>11-</w:t>
            </w:r>
            <w:r>
              <w:rPr>
                <w:b/>
              </w:rPr>
              <w:t xml:space="preserve"> </w:t>
            </w:r>
            <w:r>
              <w:t xml:space="preserve">Novac u </w:t>
            </w:r>
            <w:r w:rsidR="008E18B1">
              <w:t xml:space="preserve">na računu </w:t>
            </w:r>
            <w:r w:rsidR="00501978">
              <w:t xml:space="preserve">439.866,88 </w:t>
            </w:r>
            <w:proofErr w:type="spellStart"/>
            <w:r w:rsidR="00501978">
              <w:t>eur</w:t>
            </w:r>
            <w:proofErr w:type="spellEnd"/>
            <w:r w:rsidR="008E18B1">
              <w:t xml:space="preserve"> stanje na žiro računu na 31.12.202</w:t>
            </w:r>
            <w:r w:rsidR="00501978">
              <w:t>4</w:t>
            </w:r>
            <w:r w:rsidR="008E18B1">
              <w:t>.</w:t>
            </w:r>
          </w:p>
          <w:p w14:paraId="5203AA54" w14:textId="7E1CE279" w:rsidR="005E2E44" w:rsidRDefault="005E2E44" w:rsidP="005E2E44">
            <w:r w:rsidRPr="005E2E44">
              <w:rPr>
                <w:b/>
              </w:rPr>
              <w:t>12-</w:t>
            </w:r>
            <w:r>
              <w:t xml:space="preserve"> Depoziti, jamčevni polozi i potraživanje od zaposlenih</w:t>
            </w:r>
            <w:r w:rsidR="00AA6F71">
              <w:t xml:space="preserve"> te više plaćene poreze i ost.</w:t>
            </w:r>
            <w:r>
              <w:t xml:space="preserve"> </w:t>
            </w:r>
            <w:r w:rsidR="00501978">
              <w:t>256,81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  <w:r w:rsidR="00501978">
              <w:t xml:space="preserve"> Potraživanje za bolovanje za dijete od HZZO</w:t>
            </w:r>
          </w:p>
          <w:p w14:paraId="2A26B58D" w14:textId="20F0B7F1" w:rsidR="005E2E44" w:rsidRDefault="005E2E44" w:rsidP="005E2E44">
            <w:r w:rsidRPr="005E2E44">
              <w:rPr>
                <w:b/>
              </w:rPr>
              <w:t>15-</w:t>
            </w:r>
            <w:r>
              <w:t xml:space="preserve"> Dionice i udjeli u glavnici- iznose </w:t>
            </w:r>
            <w:r w:rsidR="008E18B1">
              <w:t>1.354.502,62 eur</w:t>
            </w:r>
          </w:p>
          <w:p w14:paraId="35056DA5" w14:textId="435A62FE" w:rsidR="005E2E44" w:rsidRDefault="005E2E44" w:rsidP="005E2E44">
            <w:r w:rsidRPr="005E2E44">
              <w:rPr>
                <w:b/>
              </w:rPr>
              <w:t>16-</w:t>
            </w:r>
            <w:r>
              <w:t xml:space="preserve"> Potraživanje za prihode poslovanja- </w:t>
            </w:r>
            <w:r w:rsidR="00501978">
              <w:t>111.428,95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</w:p>
          <w:p w14:paraId="5D4044E3" w14:textId="0B4A9239" w:rsidR="005E2E44" w:rsidRPr="00E13EFB" w:rsidRDefault="005E2E44" w:rsidP="008E18B1">
            <w:r w:rsidRPr="005E2E44">
              <w:rPr>
                <w:b/>
              </w:rPr>
              <w:t>19-</w:t>
            </w:r>
            <w:r>
              <w:t xml:space="preserve"> Rashodi budućeg razdoblja i nedospjela naplata prihoda- iznose </w:t>
            </w:r>
            <w:r w:rsidR="00501978">
              <w:t>55.084,39</w:t>
            </w:r>
            <w:r w:rsidR="008E18B1">
              <w:t xml:space="preserve"> eur – prijenos plaće za 12.202</w:t>
            </w:r>
            <w:r w:rsidR="00501978">
              <w:t>4</w:t>
            </w:r>
            <w:r w:rsidR="008E18B1">
              <w:t>.</w:t>
            </w:r>
            <w:r w:rsidR="00501978">
              <w:t xml:space="preserve"> i plaće za projekt Zaželi</w:t>
            </w:r>
          </w:p>
        </w:tc>
      </w:tr>
      <w:tr w:rsidR="003C1632" w14:paraId="5A261D87" w14:textId="77777777" w:rsidTr="00CF5760">
        <w:tc>
          <w:tcPr>
            <w:tcW w:w="9062" w:type="dxa"/>
          </w:tcPr>
          <w:p w14:paraId="6E374A31" w14:textId="3E22C701" w:rsidR="003C1632" w:rsidRPr="00D31290" w:rsidRDefault="005E2E44" w:rsidP="008E18B1">
            <w:r w:rsidRPr="00D31290">
              <w:t xml:space="preserve">B003- </w:t>
            </w:r>
            <w:r w:rsidR="00D31290" w:rsidRPr="00D31290">
              <w:t xml:space="preserve">OBVEZE I VLASTITI IZVOR- iznose </w:t>
            </w:r>
            <w:r w:rsidR="008E18B1">
              <w:t>12.</w:t>
            </w:r>
            <w:r w:rsidR="00501978">
              <w:t>923.631,52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  <w:r w:rsidR="00D31290" w:rsidRPr="00D31290">
              <w:t xml:space="preserve"> </w:t>
            </w:r>
          </w:p>
        </w:tc>
      </w:tr>
      <w:tr w:rsidR="005E2E44" w14:paraId="60EDE126" w14:textId="77777777" w:rsidTr="00CF5760">
        <w:tc>
          <w:tcPr>
            <w:tcW w:w="9062" w:type="dxa"/>
          </w:tcPr>
          <w:p w14:paraId="20E3627F" w14:textId="46FD8663" w:rsidR="005E2E44" w:rsidRDefault="005E2E44" w:rsidP="00CF5760">
            <w:pPr>
              <w:rPr>
                <w:b/>
              </w:rPr>
            </w:pPr>
            <w:r>
              <w:rPr>
                <w:b/>
              </w:rPr>
              <w:t>2- OBVEZE</w:t>
            </w:r>
            <w:r w:rsidR="00CD4983">
              <w:rPr>
                <w:b/>
              </w:rPr>
              <w:t xml:space="preserve">- </w:t>
            </w:r>
            <w:r w:rsidR="00CD4983" w:rsidRPr="00CD4983">
              <w:t xml:space="preserve">iznose </w:t>
            </w:r>
            <w:r w:rsidR="008E18B1">
              <w:t>1.</w:t>
            </w:r>
            <w:r w:rsidR="00501978">
              <w:t>451.252,84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  <w:r w:rsidR="00CD4983" w:rsidRPr="00CD4983">
              <w:t xml:space="preserve"> a sastoje se od: </w:t>
            </w:r>
          </w:p>
          <w:p w14:paraId="39FF3EC9" w14:textId="69AB57D4" w:rsidR="005E2E44" w:rsidRDefault="005E2E44" w:rsidP="00CF5760">
            <w:pPr>
              <w:rPr>
                <w:b/>
              </w:rPr>
            </w:pPr>
            <w:r>
              <w:rPr>
                <w:b/>
              </w:rPr>
              <w:t xml:space="preserve">23- </w:t>
            </w:r>
            <w:r w:rsidRPr="005E2E44">
              <w:t xml:space="preserve">Obveze za rashode poslovanja- iznose </w:t>
            </w:r>
            <w:r w:rsidR="00501978">
              <w:t>232.641,40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  <w:r>
              <w:rPr>
                <w:b/>
              </w:rPr>
              <w:t xml:space="preserve"> </w:t>
            </w:r>
          </w:p>
          <w:p w14:paraId="61B6C341" w14:textId="39E350ED" w:rsidR="00AA6F71" w:rsidRDefault="00AA6F71" w:rsidP="00CF5760">
            <w:pPr>
              <w:rPr>
                <w:b/>
              </w:rPr>
            </w:pPr>
            <w:r>
              <w:rPr>
                <w:b/>
              </w:rPr>
              <w:t xml:space="preserve">24- </w:t>
            </w:r>
            <w:r w:rsidRPr="00AA6F71">
              <w:t>Obveze za nabavu nefinancijske imovine-</w:t>
            </w:r>
            <w:r>
              <w:rPr>
                <w:b/>
              </w:rPr>
              <w:t xml:space="preserve"> </w:t>
            </w:r>
            <w:r w:rsidR="00501978">
              <w:t>92.688,97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</w:p>
          <w:p w14:paraId="097B796C" w14:textId="376BC41A" w:rsidR="005E2E44" w:rsidRPr="005E2E44" w:rsidRDefault="005E2E44" w:rsidP="008E18B1">
            <w:pPr>
              <w:rPr>
                <w:b/>
              </w:rPr>
            </w:pPr>
            <w:r>
              <w:rPr>
                <w:b/>
              </w:rPr>
              <w:t xml:space="preserve">26- </w:t>
            </w:r>
            <w:r w:rsidRPr="00CD4983">
              <w:t xml:space="preserve">Obveze za kredite i zajmove- iznose </w:t>
            </w:r>
            <w:r w:rsidR="008E18B1">
              <w:t>1.</w:t>
            </w:r>
            <w:r w:rsidR="00501978">
              <w:t xml:space="preserve">125.922,47 </w:t>
            </w:r>
            <w:r w:rsidRPr="00CD4983">
              <w:t>a odnose se na kredit u</w:t>
            </w:r>
            <w:r w:rsidR="008E18B1">
              <w:t xml:space="preserve"> Zagrebačkoj banci za DVD i DV i kredit kod </w:t>
            </w:r>
            <w:proofErr w:type="spellStart"/>
            <w:r w:rsidR="008E18B1">
              <w:t>Hbor-a</w:t>
            </w:r>
            <w:proofErr w:type="spellEnd"/>
            <w:r w:rsidR="00501978">
              <w:t xml:space="preserve"> te financijski leasing.</w:t>
            </w:r>
          </w:p>
        </w:tc>
      </w:tr>
      <w:tr w:rsidR="005E2E44" w14:paraId="245A387C" w14:textId="77777777" w:rsidTr="00CF5760">
        <w:tc>
          <w:tcPr>
            <w:tcW w:w="9062" w:type="dxa"/>
          </w:tcPr>
          <w:p w14:paraId="752D71C0" w14:textId="111DF1B0" w:rsidR="005E2E44" w:rsidRDefault="00CD4983" w:rsidP="00CF5760">
            <w:pPr>
              <w:rPr>
                <w:b/>
              </w:rPr>
            </w:pPr>
            <w:r>
              <w:rPr>
                <w:b/>
              </w:rPr>
              <w:t xml:space="preserve">9- VLASTITI IZVORI- </w:t>
            </w:r>
            <w:r w:rsidRPr="00D31290">
              <w:t xml:space="preserve">iznose </w:t>
            </w:r>
            <w:r w:rsidR="00501978">
              <w:t>11.472.378,68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  <w:r w:rsidR="00D31290">
              <w:t xml:space="preserve"> sastoji se od:</w:t>
            </w:r>
          </w:p>
          <w:p w14:paraId="0535D4BE" w14:textId="42B8BB57" w:rsidR="00CD4983" w:rsidRDefault="00CD4983" w:rsidP="00CF5760">
            <w:pPr>
              <w:rPr>
                <w:b/>
              </w:rPr>
            </w:pPr>
            <w:r>
              <w:rPr>
                <w:b/>
              </w:rPr>
              <w:t xml:space="preserve">91- </w:t>
            </w:r>
            <w:r w:rsidRPr="00D31290">
              <w:t>vlastiti izvori i ispravak vlastitih izvora</w:t>
            </w:r>
            <w:r w:rsidR="00D31290">
              <w:t xml:space="preserve"> </w:t>
            </w:r>
            <w:r w:rsidR="00501978">
              <w:t>11.187.723,70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</w:p>
          <w:p w14:paraId="0FA05AC6" w14:textId="755AB3E5" w:rsidR="00CD4983" w:rsidRDefault="00CD4983" w:rsidP="00CF5760">
            <w:pPr>
              <w:rPr>
                <w:b/>
              </w:rPr>
            </w:pPr>
            <w:r>
              <w:rPr>
                <w:b/>
              </w:rPr>
              <w:t xml:space="preserve">922- </w:t>
            </w:r>
            <w:r w:rsidRPr="00D31290">
              <w:t>Višak/</w:t>
            </w:r>
            <w:r w:rsidR="00632758" w:rsidRPr="00D31290">
              <w:t>manjak prihoda</w:t>
            </w:r>
            <w:r w:rsidR="00D31290" w:rsidRPr="00D31290">
              <w:t xml:space="preserve"> </w:t>
            </w:r>
            <w:r w:rsidR="00501978">
              <w:t xml:space="preserve">–  173.226,03 </w:t>
            </w:r>
            <w:proofErr w:type="spellStart"/>
            <w:r w:rsidR="008E18B1">
              <w:t>eur</w:t>
            </w:r>
            <w:proofErr w:type="spellEnd"/>
          </w:p>
          <w:p w14:paraId="7ACCF830" w14:textId="2C5C967F" w:rsidR="00632758" w:rsidRPr="005E2E44" w:rsidRDefault="00632758" w:rsidP="008E18B1">
            <w:pPr>
              <w:rPr>
                <w:b/>
              </w:rPr>
            </w:pPr>
            <w:r>
              <w:rPr>
                <w:b/>
              </w:rPr>
              <w:t xml:space="preserve">96- </w:t>
            </w:r>
            <w:r w:rsidRPr="00D31290">
              <w:t>Obr</w:t>
            </w:r>
            <w:r w:rsidR="00C66187">
              <w:t>a</w:t>
            </w:r>
            <w:r w:rsidRPr="00D31290">
              <w:t>čunati prihodi poslovanja</w:t>
            </w:r>
            <w:r w:rsidR="00D31290" w:rsidRPr="00D31290">
              <w:t xml:space="preserve"> </w:t>
            </w:r>
            <w:r w:rsidR="008E18B1">
              <w:t>1</w:t>
            </w:r>
            <w:r w:rsidR="00501978">
              <w:t xml:space="preserve">11.428,95 </w:t>
            </w:r>
            <w:proofErr w:type="spellStart"/>
            <w:r w:rsidR="008E18B1">
              <w:t>eur</w:t>
            </w:r>
            <w:proofErr w:type="spellEnd"/>
          </w:p>
        </w:tc>
      </w:tr>
    </w:tbl>
    <w:p w14:paraId="6A65384B" w14:textId="77777777" w:rsidR="00E951B9" w:rsidRDefault="00E951B9" w:rsidP="00E951B9">
      <w:pPr>
        <w:rPr>
          <w:b/>
          <w:u w:val="single"/>
        </w:rPr>
      </w:pPr>
    </w:p>
    <w:p w14:paraId="127DB1DC" w14:textId="77777777" w:rsidR="00851141" w:rsidRDefault="00851141" w:rsidP="00E951B9">
      <w:pPr>
        <w:rPr>
          <w:b/>
          <w:u w:val="single"/>
        </w:rPr>
      </w:pPr>
    </w:p>
    <w:p w14:paraId="6D0E3D4A" w14:textId="77777777" w:rsidR="00D31290" w:rsidRDefault="00D31290" w:rsidP="00E951B9">
      <w:pPr>
        <w:rPr>
          <w:b/>
          <w:u w:val="single"/>
        </w:rPr>
      </w:pPr>
    </w:p>
    <w:p w14:paraId="56523EBC" w14:textId="77777777" w:rsidR="00D31290" w:rsidRDefault="00D31290" w:rsidP="00E951B9">
      <w:pPr>
        <w:rPr>
          <w:b/>
          <w:u w:val="single"/>
        </w:rPr>
      </w:pPr>
    </w:p>
    <w:p w14:paraId="2C3DA011" w14:textId="77777777" w:rsidR="00D31290" w:rsidRDefault="00D31290" w:rsidP="00E951B9">
      <w:pPr>
        <w:rPr>
          <w:b/>
          <w:u w:val="single"/>
        </w:rPr>
      </w:pPr>
    </w:p>
    <w:p w14:paraId="533289FC" w14:textId="77777777" w:rsidR="00D31290" w:rsidRDefault="00D31290" w:rsidP="00E951B9">
      <w:pPr>
        <w:rPr>
          <w:b/>
          <w:u w:val="single"/>
        </w:rPr>
      </w:pPr>
    </w:p>
    <w:p w14:paraId="54E47245" w14:textId="77777777" w:rsidR="00D31290" w:rsidRDefault="00D31290" w:rsidP="00E951B9">
      <w:pPr>
        <w:rPr>
          <w:b/>
          <w:u w:val="single"/>
        </w:rPr>
      </w:pPr>
    </w:p>
    <w:p w14:paraId="5B00A638" w14:textId="77777777" w:rsidR="00D31290" w:rsidRDefault="00D31290" w:rsidP="00E951B9">
      <w:pPr>
        <w:rPr>
          <w:b/>
          <w:u w:val="single"/>
        </w:rPr>
      </w:pPr>
    </w:p>
    <w:p w14:paraId="42F5946D" w14:textId="77777777" w:rsidR="00D31290" w:rsidRDefault="00D31290" w:rsidP="00E951B9">
      <w:pPr>
        <w:rPr>
          <w:b/>
          <w:u w:val="single"/>
        </w:rPr>
      </w:pPr>
    </w:p>
    <w:p w14:paraId="624BEA85" w14:textId="77777777" w:rsidR="00D31290" w:rsidRDefault="00D31290" w:rsidP="00E951B9">
      <w:pPr>
        <w:rPr>
          <w:b/>
          <w:u w:val="single"/>
        </w:rPr>
      </w:pPr>
    </w:p>
    <w:p w14:paraId="7B1D0236" w14:textId="77777777" w:rsidR="00851141" w:rsidRDefault="00851141" w:rsidP="00E951B9">
      <w:pPr>
        <w:rPr>
          <w:b/>
          <w:u w:val="single"/>
        </w:rPr>
      </w:pPr>
    </w:p>
    <w:p w14:paraId="2D998214" w14:textId="77777777" w:rsidR="007872C6" w:rsidRDefault="007872C6" w:rsidP="00E951B9">
      <w:pPr>
        <w:rPr>
          <w:b/>
          <w:u w:val="single"/>
        </w:rPr>
      </w:pPr>
    </w:p>
    <w:p w14:paraId="4C7B4AFC" w14:textId="4D043AD2" w:rsidR="00E951B9" w:rsidRPr="001A6209" w:rsidRDefault="00E951B9" w:rsidP="00E951B9">
      <w:pPr>
        <w:rPr>
          <w:b/>
          <w:u w:val="single"/>
        </w:rPr>
      </w:pPr>
      <w:r w:rsidRPr="001A6209">
        <w:rPr>
          <w:b/>
          <w:u w:val="single"/>
        </w:rPr>
        <w:lastRenderedPageBreak/>
        <w:t xml:space="preserve">BILJEŠKE UZ IZVJEŠTAJ O </w:t>
      </w:r>
      <w:r w:rsidR="005B1032">
        <w:rPr>
          <w:b/>
          <w:u w:val="single"/>
        </w:rPr>
        <w:t>OBVEZAMA</w:t>
      </w:r>
      <w:r w:rsidRPr="001A6209">
        <w:rPr>
          <w:b/>
          <w:u w:val="single"/>
        </w:rPr>
        <w:t xml:space="preserve">- OBRAZAC OBVEZE </w:t>
      </w:r>
    </w:p>
    <w:p w14:paraId="30F886CE" w14:textId="77777777" w:rsidR="00E951B9" w:rsidRDefault="00E951B9" w:rsidP="00E951B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51B9" w14:paraId="5E149BC7" w14:textId="77777777" w:rsidTr="00123EF9">
        <w:tc>
          <w:tcPr>
            <w:tcW w:w="9062" w:type="dxa"/>
          </w:tcPr>
          <w:p w14:paraId="49585DD5" w14:textId="77777777" w:rsidR="00E951B9" w:rsidRPr="001049B2" w:rsidRDefault="00E951B9" w:rsidP="00123EF9">
            <w:pPr>
              <w:rPr>
                <w:b/>
              </w:rPr>
            </w:pPr>
            <w:r w:rsidRPr="001049B2">
              <w:rPr>
                <w:b/>
              </w:rPr>
              <w:t xml:space="preserve">OPIS </w:t>
            </w:r>
          </w:p>
        </w:tc>
      </w:tr>
      <w:tr w:rsidR="00E951B9" w14:paraId="0C886D0E" w14:textId="77777777" w:rsidTr="00123EF9">
        <w:tc>
          <w:tcPr>
            <w:tcW w:w="9062" w:type="dxa"/>
          </w:tcPr>
          <w:p w14:paraId="295725C0" w14:textId="37A0D8BA" w:rsidR="00885F93" w:rsidRDefault="00382C32" w:rsidP="00885F93">
            <w:r w:rsidRPr="00382C32">
              <w:rPr>
                <w:b/>
                <w:bCs/>
              </w:rPr>
              <w:t>V001</w:t>
            </w:r>
            <w:r w:rsidR="00E951B9">
              <w:t>- Stanje obveza na početku izvj</w:t>
            </w:r>
            <w:r w:rsidR="00F3709D">
              <w:t>eštaj</w:t>
            </w:r>
            <w:r w:rsidR="00885F93">
              <w:t xml:space="preserve">nog razdoblja u iznosi </w:t>
            </w:r>
            <w:r w:rsidR="008E18B1">
              <w:t>1.</w:t>
            </w:r>
            <w:r w:rsidR="00501978">
              <w:t>556.344,70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  <w:r w:rsidR="008E18B1">
              <w:t>.</w:t>
            </w:r>
            <w:r w:rsidR="00885F93">
              <w:t xml:space="preserve"> Isto je vidljivo te odgovara početnom stanju u bilanci glavne knjige. </w:t>
            </w:r>
          </w:p>
          <w:p w14:paraId="57A9149B" w14:textId="5FCC9D1D" w:rsidR="00E951B9" w:rsidRDefault="00E951B9" w:rsidP="00885F93"/>
        </w:tc>
      </w:tr>
      <w:tr w:rsidR="00231E79" w14:paraId="6DBE3392" w14:textId="77777777" w:rsidTr="00123EF9">
        <w:tc>
          <w:tcPr>
            <w:tcW w:w="9062" w:type="dxa"/>
          </w:tcPr>
          <w:p w14:paraId="718FE7F2" w14:textId="603B3ED8" w:rsidR="00885F93" w:rsidRDefault="00231E79" w:rsidP="00C70269">
            <w:pPr>
              <w:rPr>
                <w:bCs/>
              </w:rPr>
            </w:pPr>
            <w:r w:rsidRPr="00231E79">
              <w:rPr>
                <w:bCs/>
              </w:rPr>
              <w:t>Stanje obveza na</w:t>
            </w:r>
            <w:r w:rsidR="00885F93">
              <w:rPr>
                <w:bCs/>
              </w:rPr>
              <w:t xml:space="preserve"> kraju izvještajnog razdoblja </w:t>
            </w:r>
            <w:r w:rsidR="008E18B1">
              <w:rPr>
                <w:b/>
                <w:bCs/>
                <w:u w:val="single"/>
              </w:rPr>
              <w:t>1.</w:t>
            </w:r>
            <w:r w:rsidR="00501978">
              <w:rPr>
                <w:b/>
                <w:bCs/>
                <w:u w:val="single"/>
              </w:rPr>
              <w:t>451.252,84</w:t>
            </w:r>
            <w:r w:rsidR="008E18B1">
              <w:rPr>
                <w:b/>
                <w:bCs/>
                <w:u w:val="single"/>
              </w:rPr>
              <w:t xml:space="preserve"> </w:t>
            </w:r>
            <w:proofErr w:type="spellStart"/>
            <w:r w:rsidR="008E18B1">
              <w:rPr>
                <w:b/>
                <w:bCs/>
                <w:u w:val="single"/>
              </w:rPr>
              <w:t>eur</w:t>
            </w:r>
            <w:proofErr w:type="spellEnd"/>
            <w:r w:rsidR="008E18B1">
              <w:rPr>
                <w:b/>
                <w:bCs/>
                <w:u w:val="single"/>
              </w:rPr>
              <w:t>.</w:t>
            </w:r>
            <w:r w:rsidR="00885F93">
              <w:rPr>
                <w:bCs/>
              </w:rPr>
              <w:t xml:space="preserve"> </w:t>
            </w:r>
          </w:p>
          <w:p w14:paraId="6D8A4D23" w14:textId="49E53F35" w:rsidR="00231E79" w:rsidRPr="00231E79" w:rsidRDefault="00885F93" w:rsidP="00C70269">
            <w:pPr>
              <w:rPr>
                <w:bCs/>
              </w:rPr>
            </w:pPr>
            <w:r>
              <w:rPr>
                <w:bCs/>
              </w:rPr>
              <w:t>Stanje odgovara glavnoj knjizi</w:t>
            </w:r>
          </w:p>
        </w:tc>
      </w:tr>
      <w:tr w:rsidR="00E951B9" w14:paraId="0F986316" w14:textId="77777777" w:rsidTr="00123EF9">
        <w:tc>
          <w:tcPr>
            <w:tcW w:w="9062" w:type="dxa"/>
          </w:tcPr>
          <w:p w14:paraId="68CC7764" w14:textId="51BF377D" w:rsidR="00E951B9" w:rsidRDefault="00C70269" w:rsidP="00123EF9">
            <w:r>
              <w:rPr>
                <w:b/>
              </w:rPr>
              <w:t>V007</w:t>
            </w:r>
            <w:r w:rsidR="00E951B9" w:rsidRPr="00E13EFB">
              <w:rPr>
                <w:b/>
              </w:rPr>
              <w:t xml:space="preserve">- </w:t>
            </w:r>
            <w:r w:rsidR="00E951B9" w:rsidRPr="00E13EFB">
              <w:t xml:space="preserve">Stanje </w:t>
            </w:r>
            <w:r w:rsidR="00E951B9" w:rsidRPr="003B7DED">
              <w:rPr>
                <w:b/>
                <w:u w:val="single"/>
              </w:rPr>
              <w:t>dospjelih obveza</w:t>
            </w:r>
            <w:r w:rsidR="00E951B9" w:rsidRPr="00E13EFB">
              <w:t xml:space="preserve"> na kraju izvještajnog razdoblja</w:t>
            </w:r>
            <w:r w:rsidR="00F3709D">
              <w:t xml:space="preserve"> iznosi </w:t>
            </w:r>
            <w:r w:rsidR="00501978">
              <w:rPr>
                <w:b/>
                <w:u w:val="single"/>
              </w:rPr>
              <w:t>125.418,04</w:t>
            </w:r>
            <w:r w:rsidR="008E18B1">
              <w:rPr>
                <w:b/>
                <w:u w:val="single"/>
              </w:rPr>
              <w:t xml:space="preserve"> </w:t>
            </w:r>
            <w:proofErr w:type="spellStart"/>
            <w:r w:rsidR="008E18B1">
              <w:rPr>
                <w:b/>
                <w:u w:val="single"/>
              </w:rPr>
              <w:t>eur</w:t>
            </w:r>
            <w:proofErr w:type="spellEnd"/>
            <w:r w:rsidR="008E18B1">
              <w:rPr>
                <w:b/>
                <w:u w:val="single"/>
              </w:rPr>
              <w:t xml:space="preserve"> </w:t>
            </w:r>
            <w:r w:rsidR="00E951B9">
              <w:t xml:space="preserve"> a odnosi se na slijedeće obveze: </w:t>
            </w:r>
          </w:p>
          <w:p w14:paraId="4606A042" w14:textId="08972E7E" w:rsidR="00885F93" w:rsidRDefault="00885F93" w:rsidP="00123EF9">
            <w:r w:rsidRPr="00885F93">
              <w:rPr>
                <w:b/>
              </w:rPr>
              <w:t>D232</w:t>
            </w:r>
            <w:r>
              <w:t xml:space="preserve">- Obveze za materijalne rashode                </w:t>
            </w:r>
            <w:r w:rsidR="008E18B1">
              <w:t xml:space="preserve"> </w:t>
            </w:r>
            <w:r>
              <w:t xml:space="preserve"> </w:t>
            </w:r>
            <w:r w:rsidR="00501978">
              <w:t>71.573,19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</w:p>
          <w:p w14:paraId="75BE90BF" w14:textId="79CA2A72" w:rsidR="00C70269" w:rsidRDefault="00C70269" w:rsidP="00123EF9">
            <w:r w:rsidRPr="00C70269">
              <w:rPr>
                <w:b/>
              </w:rPr>
              <w:t>D24</w:t>
            </w:r>
            <w:r>
              <w:t>- Obveze z</w:t>
            </w:r>
            <w:r w:rsidR="003B7DED">
              <w:t xml:space="preserve">a nabavu nefinancijske imovine  </w:t>
            </w:r>
            <w:r w:rsidR="00501978">
              <w:t xml:space="preserve"> 53.844,85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</w:p>
          <w:p w14:paraId="182647AC" w14:textId="0E0AC38A" w:rsidR="00E951B9" w:rsidRPr="00E13EFB" w:rsidRDefault="00E951B9" w:rsidP="00123EF9"/>
        </w:tc>
      </w:tr>
      <w:tr w:rsidR="00E951B9" w14:paraId="68AA3624" w14:textId="77777777" w:rsidTr="00123EF9">
        <w:tc>
          <w:tcPr>
            <w:tcW w:w="9062" w:type="dxa"/>
          </w:tcPr>
          <w:p w14:paraId="641DEF0C" w14:textId="49961AB3" w:rsidR="00E951B9" w:rsidRDefault="001F5261" w:rsidP="00123EF9">
            <w:r w:rsidRPr="001F5261">
              <w:rPr>
                <w:b/>
                <w:bCs/>
              </w:rPr>
              <w:t>V009</w:t>
            </w:r>
            <w:r w:rsidR="00E951B9">
              <w:t xml:space="preserve">- Stanje </w:t>
            </w:r>
            <w:r w:rsidR="00E951B9" w:rsidRPr="003B7DED">
              <w:rPr>
                <w:b/>
                <w:u w:val="single"/>
              </w:rPr>
              <w:t>nedospjelih obveza</w:t>
            </w:r>
            <w:r w:rsidR="00E951B9">
              <w:t xml:space="preserve"> na kraju </w:t>
            </w:r>
            <w:r w:rsidR="00F3709D">
              <w:t xml:space="preserve">izvještajnog razdoblja iznose </w:t>
            </w:r>
            <w:r w:rsidR="00501978">
              <w:rPr>
                <w:b/>
                <w:u w:val="single"/>
              </w:rPr>
              <w:t>1.325.834,80</w:t>
            </w:r>
            <w:r w:rsidR="008E18B1">
              <w:rPr>
                <w:b/>
                <w:u w:val="single"/>
              </w:rPr>
              <w:t xml:space="preserve"> </w:t>
            </w:r>
            <w:proofErr w:type="spellStart"/>
            <w:r w:rsidR="008E18B1">
              <w:rPr>
                <w:b/>
                <w:u w:val="single"/>
              </w:rPr>
              <w:t>eur</w:t>
            </w:r>
            <w:proofErr w:type="spellEnd"/>
            <w:r w:rsidR="00E951B9">
              <w:t xml:space="preserve"> a odnosi se na slijedeće obveze: </w:t>
            </w:r>
          </w:p>
          <w:p w14:paraId="175BBBE3" w14:textId="0BC1FEE7" w:rsidR="003B7DED" w:rsidRDefault="001F5261" w:rsidP="00231E79">
            <w:r w:rsidRPr="001F5261">
              <w:rPr>
                <w:b/>
                <w:bCs/>
              </w:rPr>
              <w:t>ND23</w:t>
            </w:r>
            <w:r w:rsidR="00E951B9">
              <w:t xml:space="preserve">- Obveze </w:t>
            </w:r>
            <w:r w:rsidR="00F3709D">
              <w:t xml:space="preserve">za rashode poslovanja iznose </w:t>
            </w:r>
            <w:r w:rsidR="003B7DED">
              <w:t xml:space="preserve"> </w:t>
            </w:r>
            <w:r w:rsidR="00C66187">
              <w:rPr>
                <w:b/>
              </w:rPr>
              <w:t xml:space="preserve">161.068,19 </w:t>
            </w:r>
            <w:r w:rsidR="008E18B1">
              <w:rPr>
                <w:b/>
              </w:rPr>
              <w:t xml:space="preserve"> </w:t>
            </w:r>
            <w:proofErr w:type="spellStart"/>
            <w:r w:rsidR="008E18B1">
              <w:rPr>
                <w:b/>
              </w:rPr>
              <w:t>eur</w:t>
            </w:r>
            <w:proofErr w:type="spellEnd"/>
            <w:r w:rsidR="00DD7880">
              <w:t xml:space="preserve"> ( plaća za 12</w:t>
            </w:r>
            <w:r w:rsidR="008E18B1">
              <w:t>/2</w:t>
            </w:r>
            <w:r w:rsidR="00501978">
              <w:t>4</w:t>
            </w:r>
            <w:r w:rsidR="003B7DED">
              <w:t xml:space="preserve">. – </w:t>
            </w:r>
            <w:r w:rsidR="00501978">
              <w:t>55.886,32</w:t>
            </w:r>
            <w:r w:rsidR="003B7DED">
              <w:t xml:space="preserve">, </w:t>
            </w:r>
            <w:r w:rsidR="00C23AD2">
              <w:t xml:space="preserve">prijevoz 12/24 380,07 </w:t>
            </w:r>
            <w:proofErr w:type="spellStart"/>
            <w:r w:rsidR="00C23AD2">
              <w:t>eur</w:t>
            </w:r>
            <w:proofErr w:type="spellEnd"/>
            <w:r w:rsidR="00C23AD2">
              <w:t xml:space="preserve">, </w:t>
            </w:r>
            <w:r w:rsidR="003B7DED">
              <w:t>Hrvat</w:t>
            </w:r>
            <w:r w:rsidR="00E046CA">
              <w:t>ske vode doznaka sredstava za 12</w:t>
            </w:r>
            <w:r w:rsidR="008E18B1">
              <w:t>.2</w:t>
            </w:r>
            <w:r w:rsidR="00501978">
              <w:t>4</w:t>
            </w:r>
            <w:r w:rsidR="003B7DED">
              <w:t xml:space="preserve">.– </w:t>
            </w:r>
            <w:r w:rsidR="00501978">
              <w:t>5.402,80</w:t>
            </w:r>
            <w:r w:rsidR="007C6EDA">
              <w:t xml:space="preserve"> eur, obveze za jamčevine </w:t>
            </w:r>
            <w:r w:rsidR="00501978">
              <w:t>12.800,00</w:t>
            </w:r>
            <w:r w:rsidR="003B7DED">
              <w:t xml:space="preserve"> </w:t>
            </w:r>
            <w:r w:rsidR="00C23AD2">
              <w:t xml:space="preserve">, pretplata na 239 u iznosu 6.302,01 </w:t>
            </w:r>
            <w:proofErr w:type="spellStart"/>
            <w:r w:rsidR="00C23AD2">
              <w:t>eur</w:t>
            </w:r>
            <w:proofErr w:type="spellEnd"/>
            <w:r w:rsidR="00C23AD2">
              <w:t xml:space="preserve"> </w:t>
            </w:r>
            <w:r w:rsidR="003B7DED">
              <w:t>i ostali rashodi poslovanja ( računi )</w:t>
            </w:r>
            <w:r w:rsidR="00444A89">
              <w:t xml:space="preserve"> u iznosu </w:t>
            </w:r>
            <w:r w:rsidR="00501978">
              <w:t>66.736,60</w:t>
            </w:r>
            <w:r w:rsidR="007C6EDA">
              <w:t xml:space="preserve"> eur</w:t>
            </w:r>
            <w:r w:rsidR="003B7DED">
              <w:t xml:space="preserve"> </w:t>
            </w:r>
            <w:r w:rsidR="00C23AD2">
              <w:t xml:space="preserve">, kamate za leasing 107,87 </w:t>
            </w:r>
            <w:proofErr w:type="spellStart"/>
            <w:r w:rsidR="00C23AD2">
              <w:t>eur</w:t>
            </w:r>
            <w:proofErr w:type="spellEnd"/>
            <w:r w:rsidR="00C23AD2">
              <w:t xml:space="preserve"> te</w:t>
            </w:r>
            <w:r w:rsidR="00444A89">
              <w:t xml:space="preserve"> </w:t>
            </w:r>
            <w:r w:rsidR="008E18B1">
              <w:t xml:space="preserve">međusobne obveze subjekata općeg proračuna </w:t>
            </w:r>
            <w:r w:rsidR="00501978">
              <w:t>– rezultat poslovanja DV 26.057,56 EUR</w:t>
            </w:r>
          </w:p>
          <w:p w14:paraId="3FD8651B" w14:textId="0425CCE9" w:rsidR="003B7DED" w:rsidRDefault="003B7DED" w:rsidP="00231E79">
            <w:r w:rsidRPr="003B7DED">
              <w:rPr>
                <w:b/>
              </w:rPr>
              <w:t>ND24</w:t>
            </w:r>
            <w:r>
              <w:t xml:space="preserve"> – Obveze za nabavu nefinancijske imovine </w:t>
            </w:r>
            <w:r w:rsidR="00501978">
              <w:rPr>
                <w:b/>
              </w:rPr>
              <w:t>38.844,14</w:t>
            </w:r>
            <w:r w:rsidR="008E18B1">
              <w:rPr>
                <w:b/>
              </w:rPr>
              <w:t xml:space="preserve"> </w:t>
            </w:r>
            <w:proofErr w:type="spellStart"/>
            <w:r w:rsidR="008E18B1">
              <w:rPr>
                <w:b/>
              </w:rPr>
              <w:t>eur</w:t>
            </w:r>
            <w:proofErr w:type="spellEnd"/>
            <w:r>
              <w:t xml:space="preserve"> ( računi )</w:t>
            </w:r>
          </w:p>
          <w:p w14:paraId="25C744E1" w14:textId="57246F69" w:rsidR="003B7DED" w:rsidRDefault="003B7DED" w:rsidP="008E18B1">
            <w:r w:rsidRPr="003B7DED">
              <w:rPr>
                <w:b/>
              </w:rPr>
              <w:t>ND dio 25,26</w:t>
            </w:r>
            <w:r>
              <w:t xml:space="preserve"> – Obveze za financijsku imovinu </w:t>
            </w:r>
            <w:r w:rsidR="00501978">
              <w:rPr>
                <w:b/>
              </w:rPr>
              <w:t>1.125.922,47</w:t>
            </w:r>
            <w:r w:rsidR="008E18B1">
              <w:rPr>
                <w:b/>
              </w:rPr>
              <w:t xml:space="preserve"> </w:t>
            </w:r>
            <w:proofErr w:type="spellStart"/>
            <w:r w:rsidR="008E18B1">
              <w:rPr>
                <w:b/>
              </w:rPr>
              <w:t>eur</w:t>
            </w:r>
            <w:proofErr w:type="spellEnd"/>
            <w:r>
              <w:t xml:space="preserve"> (</w:t>
            </w:r>
            <w:r w:rsidR="008E18B1">
              <w:t xml:space="preserve"> </w:t>
            </w:r>
            <w:r>
              <w:t>kredit HBOR i kredit ZGB )</w:t>
            </w:r>
          </w:p>
        </w:tc>
      </w:tr>
    </w:tbl>
    <w:p w14:paraId="5A364AA0" w14:textId="77777777" w:rsidR="00905497" w:rsidRDefault="00905497" w:rsidP="006644DE"/>
    <w:p w14:paraId="60440930" w14:textId="77777777" w:rsidR="00231E79" w:rsidRDefault="00231E79" w:rsidP="006644DE"/>
    <w:p w14:paraId="5288F238" w14:textId="04C0323C" w:rsidR="00851141" w:rsidRPr="001A6209" w:rsidRDefault="00851141" w:rsidP="00851141">
      <w:pPr>
        <w:rPr>
          <w:b/>
          <w:u w:val="single"/>
        </w:rPr>
      </w:pPr>
      <w:r w:rsidRPr="001A6209">
        <w:rPr>
          <w:b/>
          <w:u w:val="single"/>
        </w:rPr>
        <w:t xml:space="preserve">BILJEŠKE UZ IZVJEŠTAJ </w:t>
      </w:r>
      <w:r>
        <w:rPr>
          <w:b/>
          <w:u w:val="single"/>
        </w:rPr>
        <w:t>O RASHODIMA PREMA FUNKCIJSKOJ KLASIFIKACIJI</w:t>
      </w:r>
      <w:r w:rsidRPr="001A6209">
        <w:rPr>
          <w:b/>
          <w:u w:val="single"/>
        </w:rPr>
        <w:t xml:space="preserve"> </w:t>
      </w:r>
    </w:p>
    <w:p w14:paraId="6AC11F6B" w14:textId="77777777" w:rsidR="00851141" w:rsidRDefault="00851141" w:rsidP="0085114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1141" w14:paraId="457CDFDE" w14:textId="77777777" w:rsidTr="00CF5760">
        <w:tc>
          <w:tcPr>
            <w:tcW w:w="9062" w:type="dxa"/>
          </w:tcPr>
          <w:p w14:paraId="0DDF2AE2" w14:textId="77777777" w:rsidR="00851141" w:rsidRPr="001049B2" w:rsidRDefault="00851141" w:rsidP="00CF5760">
            <w:pPr>
              <w:rPr>
                <w:b/>
              </w:rPr>
            </w:pPr>
            <w:r w:rsidRPr="001049B2">
              <w:rPr>
                <w:b/>
              </w:rPr>
              <w:t xml:space="preserve">OPIS </w:t>
            </w:r>
          </w:p>
        </w:tc>
      </w:tr>
      <w:tr w:rsidR="00851141" w14:paraId="26C85EBF" w14:textId="77777777" w:rsidTr="00CF5760">
        <w:tc>
          <w:tcPr>
            <w:tcW w:w="9062" w:type="dxa"/>
          </w:tcPr>
          <w:p w14:paraId="7192C625" w14:textId="183F5007" w:rsidR="00851141" w:rsidRPr="00851141" w:rsidRDefault="00851141" w:rsidP="00B05D54">
            <w:pPr>
              <w:rPr>
                <w:b/>
              </w:rPr>
            </w:pPr>
            <w:r w:rsidRPr="00851141">
              <w:rPr>
                <w:b/>
              </w:rPr>
              <w:t>01- OPĆE JAVNE USLUGE</w:t>
            </w:r>
            <w:r>
              <w:rPr>
                <w:b/>
              </w:rPr>
              <w:t xml:space="preserve">- </w:t>
            </w:r>
            <w:r w:rsidRPr="00851141">
              <w:t xml:space="preserve">ostvarene su u tekućoj godini u iznosu od </w:t>
            </w:r>
            <w:r w:rsidR="00F072AA">
              <w:t>1.247.316,07</w:t>
            </w:r>
            <w:r w:rsidR="00B05D54">
              <w:t xml:space="preserve"> EUR</w:t>
            </w:r>
            <w:r w:rsidRPr="00851141">
              <w:t xml:space="preserve"> što je u odno</w:t>
            </w:r>
            <w:r w:rsidR="00D31290">
              <w:t xml:space="preserve">su na prošlu godinu više za </w:t>
            </w:r>
            <w:r w:rsidR="00F072AA">
              <w:t>27</w:t>
            </w:r>
            <w:r w:rsidR="00B05D54">
              <w:t>%</w:t>
            </w:r>
          </w:p>
        </w:tc>
      </w:tr>
      <w:tr w:rsidR="00851141" w14:paraId="161B0B2F" w14:textId="77777777" w:rsidTr="00CF5760">
        <w:tc>
          <w:tcPr>
            <w:tcW w:w="9062" w:type="dxa"/>
          </w:tcPr>
          <w:p w14:paraId="216761AE" w14:textId="641BC126" w:rsidR="00851141" w:rsidRPr="00231E79" w:rsidRDefault="00851141" w:rsidP="00B05D54">
            <w:pPr>
              <w:rPr>
                <w:bCs/>
              </w:rPr>
            </w:pPr>
            <w:r w:rsidRPr="00851141">
              <w:rPr>
                <w:b/>
                <w:bCs/>
              </w:rPr>
              <w:t>03- JAVNI RED I SIGURNOST</w:t>
            </w:r>
            <w:r>
              <w:rPr>
                <w:bCs/>
              </w:rPr>
              <w:t xml:space="preserve">-  </w:t>
            </w:r>
            <w:r w:rsidRPr="00851141">
              <w:t xml:space="preserve">ostvarene su u tekućoj godini u iznosu od </w:t>
            </w:r>
            <w:r w:rsidR="00F072AA">
              <w:t>80.684,93</w:t>
            </w:r>
            <w:r w:rsidR="00B05D54">
              <w:t xml:space="preserve"> EUR</w:t>
            </w:r>
            <w:r>
              <w:t xml:space="preserve"> </w:t>
            </w:r>
            <w:r w:rsidRPr="00851141">
              <w:t xml:space="preserve"> što je u odnosu na prošlu godinu više za </w:t>
            </w:r>
            <w:r w:rsidR="00F072AA">
              <w:t>50,90</w:t>
            </w:r>
            <w:r w:rsidRPr="00851141">
              <w:t xml:space="preserve"> %</w:t>
            </w:r>
          </w:p>
        </w:tc>
      </w:tr>
      <w:tr w:rsidR="00851141" w14:paraId="060353D4" w14:textId="77777777" w:rsidTr="00CF5760">
        <w:tc>
          <w:tcPr>
            <w:tcW w:w="9062" w:type="dxa"/>
          </w:tcPr>
          <w:p w14:paraId="24A5C1AA" w14:textId="78AD7EA8" w:rsidR="00851141" w:rsidRPr="00E13EFB" w:rsidRDefault="003C1632" w:rsidP="00B05D54">
            <w:r>
              <w:rPr>
                <w:b/>
              </w:rPr>
              <w:t xml:space="preserve">04- EKONOMSKI POSLOVI-  </w:t>
            </w:r>
            <w:r w:rsidRPr="00851141">
              <w:t xml:space="preserve">ostvarene su u tekućoj godini u iznosu od </w:t>
            </w:r>
            <w:r w:rsidR="00F072AA">
              <w:t>431.502,04</w:t>
            </w:r>
            <w:r w:rsidR="00B05D54">
              <w:t xml:space="preserve"> EUR što je u odnosu na prošlu godinu </w:t>
            </w:r>
            <w:r w:rsidR="00F072AA">
              <w:t>manje</w:t>
            </w:r>
            <w:r w:rsidR="00B05D54">
              <w:t xml:space="preserve"> za </w:t>
            </w:r>
            <w:r w:rsidR="00F072AA">
              <w:t>15,00</w:t>
            </w:r>
            <w:r w:rsidR="00B05D54">
              <w:t>%.</w:t>
            </w:r>
          </w:p>
        </w:tc>
      </w:tr>
      <w:tr w:rsidR="00F072AA" w14:paraId="03F2D123" w14:textId="77777777" w:rsidTr="00CF5760">
        <w:tc>
          <w:tcPr>
            <w:tcW w:w="9062" w:type="dxa"/>
          </w:tcPr>
          <w:p w14:paraId="79D1E2B2" w14:textId="6D212657" w:rsidR="00F072AA" w:rsidRDefault="00F072AA" w:rsidP="00B05D54">
            <w:pPr>
              <w:rPr>
                <w:b/>
              </w:rPr>
            </w:pPr>
            <w:r>
              <w:rPr>
                <w:b/>
              </w:rPr>
              <w:t xml:space="preserve">05 – ZAŠTITA OKOLIŠA </w:t>
            </w:r>
            <w:r w:rsidRPr="00F072AA">
              <w:rPr>
                <w:bCs/>
              </w:rPr>
              <w:t xml:space="preserve">– ostvarene su u tekućoj </w:t>
            </w:r>
            <w:proofErr w:type="spellStart"/>
            <w:r w:rsidRPr="00F072AA">
              <w:rPr>
                <w:bCs/>
              </w:rPr>
              <w:t>godni</w:t>
            </w:r>
            <w:proofErr w:type="spellEnd"/>
            <w:r w:rsidRPr="00F072AA">
              <w:rPr>
                <w:bCs/>
              </w:rPr>
              <w:t xml:space="preserve"> u iznosu od 148.374,47 EUR , dok u prošloj godini nije bilo ostvarenja. </w:t>
            </w:r>
          </w:p>
        </w:tc>
      </w:tr>
      <w:tr w:rsidR="003C1632" w14:paraId="53434089" w14:textId="77777777" w:rsidTr="00CF5760">
        <w:tc>
          <w:tcPr>
            <w:tcW w:w="9062" w:type="dxa"/>
          </w:tcPr>
          <w:p w14:paraId="65323C61" w14:textId="3428854E" w:rsidR="003C1632" w:rsidRDefault="003C1632" w:rsidP="00B05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06-USLUGE UNAPRIJEĐENJA STANOVANJA I ZAJEDNICE- </w:t>
            </w:r>
            <w:r w:rsidRPr="00851141">
              <w:t xml:space="preserve">ostvarene su u tekućoj godini u iznosu od </w:t>
            </w:r>
            <w:r w:rsidR="00F072AA">
              <w:t>339.771,05</w:t>
            </w:r>
            <w:r w:rsidR="00B05D54">
              <w:t xml:space="preserve"> EUR</w:t>
            </w:r>
            <w:r>
              <w:t xml:space="preserve"> što je </w:t>
            </w:r>
            <w:r w:rsidR="00B05D54">
              <w:t xml:space="preserve">više za </w:t>
            </w:r>
            <w:r w:rsidR="00F072AA">
              <w:t>1,9</w:t>
            </w:r>
            <w:r>
              <w:t xml:space="preserve">% u odnosu na prethodnu godinu. </w:t>
            </w:r>
          </w:p>
        </w:tc>
      </w:tr>
      <w:tr w:rsidR="003C1632" w14:paraId="320F472D" w14:textId="77777777" w:rsidTr="00CF5760">
        <w:tc>
          <w:tcPr>
            <w:tcW w:w="9062" w:type="dxa"/>
          </w:tcPr>
          <w:p w14:paraId="2ABD0FAE" w14:textId="17A1D03C" w:rsidR="003C1632" w:rsidRDefault="003C1632" w:rsidP="00B05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07- ZDRAVSTVO- </w:t>
            </w:r>
            <w:r w:rsidRPr="00851141">
              <w:t xml:space="preserve">ostvarene su u tekućoj godini u iznosu od </w:t>
            </w:r>
            <w:r w:rsidR="00F072AA">
              <w:t>12.136,88</w:t>
            </w:r>
            <w:r w:rsidR="00B05D54">
              <w:t xml:space="preserve"> eur</w:t>
            </w:r>
            <w:r>
              <w:t xml:space="preserve"> što je </w:t>
            </w:r>
            <w:r w:rsidR="00F072AA">
              <w:t>manje za 15%</w:t>
            </w:r>
            <w:r>
              <w:t xml:space="preserve">  u odnosu na prethodnu godinu.</w:t>
            </w:r>
          </w:p>
        </w:tc>
      </w:tr>
      <w:tr w:rsidR="003C1632" w14:paraId="0892EC9F" w14:textId="77777777" w:rsidTr="00CF5760">
        <w:tc>
          <w:tcPr>
            <w:tcW w:w="9062" w:type="dxa"/>
          </w:tcPr>
          <w:p w14:paraId="08ADA4AB" w14:textId="7DC0C26C" w:rsidR="003C1632" w:rsidRDefault="003C1632" w:rsidP="00B05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08- REKREACIJA, KULTURA I REGIJA- </w:t>
            </w:r>
            <w:r w:rsidRPr="00851141">
              <w:t xml:space="preserve">ostvarene su u tekućoj godini u iznosu od </w:t>
            </w:r>
            <w:r w:rsidR="00162534">
              <w:t>302.761,22</w:t>
            </w:r>
            <w:r w:rsidR="00B05D54">
              <w:t xml:space="preserve"> </w:t>
            </w:r>
            <w:proofErr w:type="spellStart"/>
            <w:r w:rsidR="00B05D54">
              <w:t>eur</w:t>
            </w:r>
            <w:proofErr w:type="spellEnd"/>
            <w:r w:rsidR="00B05D54">
              <w:t>, što je</w:t>
            </w:r>
            <w:r w:rsidR="00162534">
              <w:t xml:space="preserve"> više</w:t>
            </w:r>
            <w:r w:rsidR="00B05D54">
              <w:t xml:space="preserve"> za </w:t>
            </w:r>
            <w:r w:rsidR="00162534">
              <w:t>36,9</w:t>
            </w:r>
            <w:r w:rsidR="00B05D54">
              <w:t>% u odnosu na prošlu godinu.</w:t>
            </w:r>
            <w:r>
              <w:t xml:space="preserve"> </w:t>
            </w:r>
          </w:p>
        </w:tc>
      </w:tr>
      <w:tr w:rsidR="003C1632" w14:paraId="3C584082" w14:textId="77777777" w:rsidTr="00CF5760">
        <w:tc>
          <w:tcPr>
            <w:tcW w:w="9062" w:type="dxa"/>
          </w:tcPr>
          <w:p w14:paraId="373D0E3E" w14:textId="204A0E5E" w:rsidR="003C1632" w:rsidRDefault="003C1632" w:rsidP="00B05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09-OBRAZOVANJE- </w:t>
            </w:r>
            <w:r w:rsidRPr="00851141">
              <w:t xml:space="preserve">ostvarene su u tekućoj godini u iznosu od </w:t>
            </w:r>
            <w:r w:rsidR="00162534">
              <w:t>192.978,09</w:t>
            </w:r>
            <w:r w:rsidR="00B05D54">
              <w:t xml:space="preserve"> EUR</w:t>
            </w:r>
            <w:r w:rsidR="00162534">
              <w:t xml:space="preserve">, dok u prošloj godini nije bilo realizacije. Navedeno se odnosi na izgradnju dječjeg vrtića iz naših sredstava. </w:t>
            </w:r>
          </w:p>
        </w:tc>
      </w:tr>
      <w:tr w:rsidR="003C1632" w14:paraId="2B5DC3E4" w14:textId="77777777" w:rsidTr="00CF5760">
        <w:tc>
          <w:tcPr>
            <w:tcW w:w="9062" w:type="dxa"/>
          </w:tcPr>
          <w:p w14:paraId="7091FB2C" w14:textId="5E02AF10" w:rsidR="003C1632" w:rsidRDefault="003C1632" w:rsidP="00B05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10- SOCIJALNA ZAŠTITA- </w:t>
            </w:r>
            <w:r w:rsidRPr="00851141">
              <w:t xml:space="preserve">ostvarene su u tekućoj godini u iznosu od </w:t>
            </w:r>
            <w:r w:rsidR="00162534">
              <w:t>31.518,42</w:t>
            </w:r>
            <w:r>
              <w:t xml:space="preserve"> što je </w:t>
            </w:r>
            <w:r w:rsidR="00162534">
              <w:t>manje</w:t>
            </w:r>
            <w:r w:rsidR="00B05D54">
              <w:t xml:space="preserve"> za </w:t>
            </w:r>
            <w:r w:rsidR="00162534">
              <w:t>4</w:t>
            </w:r>
            <w:r>
              <w:t xml:space="preserve"> % u odnosu na prethodnu godinu.</w:t>
            </w:r>
          </w:p>
        </w:tc>
      </w:tr>
    </w:tbl>
    <w:p w14:paraId="5A021BE0" w14:textId="77777777" w:rsidR="00851141" w:rsidRDefault="00851141" w:rsidP="00851141"/>
    <w:p w14:paraId="49170089" w14:textId="6B66DCF8" w:rsidR="00B05D54" w:rsidRDefault="00B05D54" w:rsidP="00851141">
      <w:r>
        <w:lastRenderedPageBreak/>
        <w:t xml:space="preserve">Ukupni troškovi iznose </w:t>
      </w:r>
      <w:r w:rsidR="00F072AA">
        <w:t>2.787.043,17</w:t>
      </w:r>
      <w:r>
        <w:t xml:space="preserve"> EUR prema funkcijskoj klasifikaciji.</w:t>
      </w:r>
      <w:r w:rsidR="00F072AA">
        <w:t xml:space="preserve"> Od ukupnih rashoda Y034 3.042.155,06 EUR oduzimamo 367 ( 255.111,89 EUR – prijenos proračunskom korisniku ). </w:t>
      </w:r>
    </w:p>
    <w:p w14:paraId="48495463" w14:textId="77777777" w:rsidR="00B05D54" w:rsidRDefault="00B05D54" w:rsidP="00851141"/>
    <w:p w14:paraId="40373A9F" w14:textId="21D0CBBE" w:rsidR="00B05D54" w:rsidRDefault="00B05D54" w:rsidP="00851141">
      <w:pPr>
        <w:rPr>
          <w:b/>
          <w:u w:val="single"/>
        </w:rPr>
      </w:pPr>
      <w:r w:rsidRPr="00B05D54">
        <w:rPr>
          <w:b/>
          <w:u w:val="single"/>
        </w:rPr>
        <w:t>BILJEŠKE UZ IZVJEŠTAJ O PROMJENAMA U VRIJEDNOSTI I OBUJMU IMOVINE I OBVEZA</w:t>
      </w:r>
    </w:p>
    <w:p w14:paraId="3B06774F" w14:textId="7A2CC141" w:rsidR="00B05D54" w:rsidRDefault="00B05D54" w:rsidP="00851141">
      <w:r>
        <w:t xml:space="preserve">Promjene u obujmu imovine na kontu 915 – prikazane su u iznosu od </w:t>
      </w:r>
      <w:r w:rsidR="00B91870">
        <w:t>58.423,42</w:t>
      </w:r>
      <w:r>
        <w:t xml:space="preserve"> EUR. Navedeni konto promjene u obujmu imovine odnosi se na sredstva imovine koja su isknjižena iz glavne knjige</w:t>
      </w:r>
      <w:r w:rsidR="001E2488">
        <w:t>, a imala su vrijednost</w:t>
      </w:r>
      <w:r w:rsidR="00B91870">
        <w:t xml:space="preserve"> te ispravak računovodstvene pogreške iz 2019. godine.</w:t>
      </w:r>
    </w:p>
    <w:p w14:paraId="31A186D1" w14:textId="74AFFA39" w:rsidR="00B05D54" w:rsidRDefault="00B05D54" w:rsidP="00851141">
      <w:r>
        <w:t xml:space="preserve">Iznos od </w:t>
      </w:r>
      <w:r w:rsidR="00F072AA">
        <w:t>2.077,11</w:t>
      </w:r>
      <w:r>
        <w:t xml:space="preserve"> </w:t>
      </w:r>
      <w:proofErr w:type="spellStart"/>
      <w:r>
        <w:t>eur</w:t>
      </w:r>
      <w:proofErr w:type="spellEnd"/>
      <w:r>
        <w:t xml:space="preserve"> odnosi se na isknjiženja</w:t>
      </w:r>
      <w:r w:rsidR="001E2488">
        <w:t xml:space="preserve"> imovine</w:t>
      </w:r>
      <w:r>
        <w:t>, odnosno vrijednost imovine</w:t>
      </w:r>
      <w:r w:rsidR="001E2488">
        <w:t xml:space="preserve"> koja je isknjižena</w:t>
      </w:r>
      <w:r>
        <w:t xml:space="preserve"> tijekom 202</w:t>
      </w:r>
      <w:r w:rsidR="00F072AA">
        <w:t>4</w:t>
      </w:r>
      <w:r>
        <w:t xml:space="preserve">. godine. </w:t>
      </w:r>
      <w:r w:rsidR="00F072AA">
        <w:t xml:space="preserve">Navedeno se odnosi na </w:t>
      </w:r>
      <w:proofErr w:type="spellStart"/>
      <w:r w:rsidR="00F072AA">
        <w:t>isknjiženje</w:t>
      </w:r>
      <w:proofErr w:type="spellEnd"/>
      <w:r w:rsidR="00F072AA">
        <w:t xml:space="preserve"> automobila zbog prodaje. Iznos od 396,84 </w:t>
      </w:r>
      <w:proofErr w:type="spellStart"/>
      <w:r w:rsidR="00F072AA">
        <w:t>eur</w:t>
      </w:r>
      <w:proofErr w:type="spellEnd"/>
      <w:r w:rsidR="00F072AA">
        <w:t xml:space="preserve"> odnosi se na početno stanje , zbog toga što konto 915120 ne smije imati početno stanje. </w:t>
      </w:r>
    </w:p>
    <w:p w14:paraId="01C08A5E" w14:textId="1AFF9D50" w:rsidR="00851141" w:rsidRDefault="00F072AA" w:rsidP="006644DE">
      <w:r>
        <w:t xml:space="preserve">Promjene u vrijednosti obveza na kontu 915210 odnosi se na Otpis obveze u iznosu 5.982,14 </w:t>
      </w:r>
      <w:proofErr w:type="spellStart"/>
      <w:r>
        <w:t>Eur</w:t>
      </w:r>
      <w:proofErr w:type="spellEnd"/>
      <w:r>
        <w:t xml:space="preserve"> te promjene u početnom stanju jer konto 915 nije bio zatvoren , zbog računovodstvene pogreške iz 2019. godine. </w:t>
      </w:r>
    </w:p>
    <w:p w14:paraId="2D21713F" w14:textId="77777777" w:rsidR="00231E79" w:rsidRDefault="00231E79" w:rsidP="006644DE"/>
    <w:p w14:paraId="2BE34953" w14:textId="28931AEE" w:rsidR="00033D46" w:rsidRDefault="00742400" w:rsidP="006644DE">
      <w:r>
        <w:t xml:space="preserve">Bilješke sastavila: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1632">
        <w:t xml:space="preserve">          </w:t>
      </w:r>
      <w:r w:rsidR="008A1C71">
        <w:t>Općinski načelnik:</w:t>
      </w:r>
    </w:p>
    <w:p w14:paraId="4D515B4D" w14:textId="5FF86AE3" w:rsidR="008A1C71" w:rsidRDefault="001E2488" w:rsidP="006644DE">
      <w:r>
        <w:t>Voditelj računovodstva</w:t>
      </w:r>
      <w:r w:rsidR="003C1632">
        <w:tab/>
      </w:r>
      <w:r w:rsidR="003C1632">
        <w:tab/>
      </w:r>
      <w:r w:rsidR="003C1632">
        <w:tab/>
      </w:r>
      <w:r w:rsidR="003C1632">
        <w:tab/>
      </w:r>
      <w:r w:rsidR="003C1632">
        <w:tab/>
      </w:r>
      <w:r w:rsidR="003C1632">
        <w:tab/>
      </w:r>
      <w:r w:rsidR="003C1632">
        <w:tab/>
      </w:r>
      <w:r w:rsidR="003C1632">
        <w:tab/>
        <w:t xml:space="preserve"> </w:t>
      </w:r>
      <w:r w:rsidR="008A1C71">
        <w:t xml:space="preserve"> Zlatko Aga</w:t>
      </w:r>
    </w:p>
    <w:p w14:paraId="4584C2BA" w14:textId="509B1BF5" w:rsidR="00231E79" w:rsidRDefault="001E2488" w:rsidP="006644DE">
      <w:r>
        <w:t>Turkalj Mia</w:t>
      </w:r>
      <w:r w:rsidR="00231E79">
        <w:tab/>
      </w:r>
      <w:r w:rsidR="00231E79">
        <w:tab/>
      </w:r>
      <w:r w:rsidR="00231E79">
        <w:tab/>
      </w:r>
      <w:r w:rsidR="00231E79">
        <w:tab/>
      </w:r>
      <w:r w:rsidR="00231E79">
        <w:tab/>
      </w:r>
      <w:r w:rsidR="00231E79">
        <w:tab/>
      </w:r>
    </w:p>
    <w:p w14:paraId="2A440AB7" w14:textId="62A27BE4" w:rsidR="00305B71" w:rsidRDefault="00444A89">
      <w:r>
        <w:t xml:space="preserve">U </w:t>
      </w:r>
      <w:r w:rsidR="003C1632">
        <w:t>Rešetarima, 1</w:t>
      </w:r>
      <w:r w:rsidR="00C23AD2">
        <w:t>7</w:t>
      </w:r>
      <w:r w:rsidR="003C1632">
        <w:t>.02</w:t>
      </w:r>
      <w:r w:rsidR="00231E79">
        <w:t>.202</w:t>
      </w:r>
      <w:r w:rsidR="001E2488">
        <w:t>4</w:t>
      </w:r>
      <w:r w:rsidR="00742400">
        <w:t>.</w:t>
      </w:r>
    </w:p>
    <w:sectPr w:rsidR="0030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0FD1"/>
    <w:multiLevelType w:val="hybridMultilevel"/>
    <w:tmpl w:val="1F7893D2"/>
    <w:lvl w:ilvl="0" w:tplc="288E49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2028"/>
    <w:multiLevelType w:val="hybridMultilevel"/>
    <w:tmpl w:val="9732FA30"/>
    <w:lvl w:ilvl="0" w:tplc="CC9CFC38">
      <w:start w:val="1"/>
      <w:numFmt w:val="decimal"/>
      <w:lvlText w:val="%1."/>
      <w:lvlJc w:val="left"/>
      <w:pPr>
        <w:ind w:left="338" w:hanging="236"/>
        <w:jc w:val="left"/>
      </w:pPr>
      <w:rPr>
        <w:rFonts w:hint="default"/>
        <w:spacing w:val="-59"/>
        <w:w w:val="102"/>
        <w:position w:val="1"/>
      </w:rPr>
    </w:lvl>
    <w:lvl w:ilvl="1" w:tplc="B44A2AF6">
      <w:start w:val="1"/>
      <w:numFmt w:val="decimal"/>
      <w:lvlText w:val="%2."/>
      <w:lvlJc w:val="left"/>
      <w:pPr>
        <w:ind w:left="1772" w:hanging="251"/>
        <w:jc w:val="left"/>
      </w:pPr>
      <w:rPr>
        <w:rFonts w:ascii="Arial" w:eastAsia="Arial" w:hAnsi="Arial" w:cs="Arial" w:hint="default"/>
        <w:b/>
        <w:bCs/>
        <w:spacing w:val="-53"/>
        <w:w w:val="103"/>
        <w:position w:val="1"/>
        <w:sz w:val="21"/>
        <w:szCs w:val="21"/>
      </w:rPr>
    </w:lvl>
    <w:lvl w:ilvl="2" w:tplc="816C74E8">
      <w:numFmt w:val="bullet"/>
      <w:lvlText w:val="•"/>
      <w:lvlJc w:val="left"/>
      <w:pPr>
        <w:ind w:left="2606" w:hanging="251"/>
      </w:pPr>
      <w:rPr>
        <w:rFonts w:hint="default"/>
      </w:rPr>
    </w:lvl>
    <w:lvl w:ilvl="3" w:tplc="504A9FEA">
      <w:numFmt w:val="bullet"/>
      <w:lvlText w:val="•"/>
      <w:lvlJc w:val="left"/>
      <w:pPr>
        <w:ind w:left="3433" w:hanging="251"/>
      </w:pPr>
      <w:rPr>
        <w:rFonts w:hint="default"/>
      </w:rPr>
    </w:lvl>
    <w:lvl w:ilvl="4" w:tplc="4954A524">
      <w:numFmt w:val="bullet"/>
      <w:lvlText w:val="•"/>
      <w:lvlJc w:val="left"/>
      <w:pPr>
        <w:ind w:left="4259" w:hanging="251"/>
      </w:pPr>
      <w:rPr>
        <w:rFonts w:hint="default"/>
      </w:rPr>
    </w:lvl>
    <w:lvl w:ilvl="5" w:tplc="E0EEA762">
      <w:numFmt w:val="bullet"/>
      <w:lvlText w:val="•"/>
      <w:lvlJc w:val="left"/>
      <w:pPr>
        <w:ind w:left="5086" w:hanging="251"/>
      </w:pPr>
      <w:rPr>
        <w:rFonts w:hint="default"/>
      </w:rPr>
    </w:lvl>
    <w:lvl w:ilvl="6" w:tplc="09BCAC78">
      <w:numFmt w:val="bullet"/>
      <w:lvlText w:val="•"/>
      <w:lvlJc w:val="left"/>
      <w:pPr>
        <w:ind w:left="5913" w:hanging="251"/>
      </w:pPr>
      <w:rPr>
        <w:rFonts w:hint="default"/>
      </w:rPr>
    </w:lvl>
    <w:lvl w:ilvl="7" w:tplc="F126C56A">
      <w:numFmt w:val="bullet"/>
      <w:lvlText w:val="•"/>
      <w:lvlJc w:val="left"/>
      <w:pPr>
        <w:ind w:left="6739" w:hanging="251"/>
      </w:pPr>
      <w:rPr>
        <w:rFonts w:hint="default"/>
      </w:rPr>
    </w:lvl>
    <w:lvl w:ilvl="8" w:tplc="E79AB858">
      <w:numFmt w:val="bullet"/>
      <w:lvlText w:val="•"/>
      <w:lvlJc w:val="left"/>
      <w:pPr>
        <w:ind w:left="7566" w:hanging="251"/>
      </w:pPr>
      <w:rPr>
        <w:rFonts w:hint="default"/>
      </w:rPr>
    </w:lvl>
  </w:abstractNum>
  <w:abstractNum w:abstractNumId="2" w15:restartNumberingAfterBreak="0">
    <w:nsid w:val="25CC404D"/>
    <w:multiLevelType w:val="hybridMultilevel"/>
    <w:tmpl w:val="1984535C"/>
    <w:lvl w:ilvl="0" w:tplc="6F2432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A5DCA"/>
    <w:multiLevelType w:val="hybridMultilevel"/>
    <w:tmpl w:val="C100C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190151">
    <w:abstractNumId w:val="2"/>
  </w:num>
  <w:num w:numId="2" w16cid:durableId="1564176765">
    <w:abstractNumId w:val="3"/>
  </w:num>
  <w:num w:numId="3" w16cid:durableId="652684756">
    <w:abstractNumId w:val="0"/>
  </w:num>
  <w:num w:numId="4" w16cid:durableId="208066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71"/>
    <w:rsid w:val="00033D46"/>
    <w:rsid w:val="00063195"/>
    <w:rsid w:val="00075F60"/>
    <w:rsid w:val="00082871"/>
    <w:rsid w:val="000B50CE"/>
    <w:rsid w:val="000D0EAD"/>
    <w:rsid w:val="000F0846"/>
    <w:rsid w:val="000F3B60"/>
    <w:rsid w:val="001049B2"/>
    <w:rsid w:val="00151102"/>
    <w:rsid w:val="00154CD9"/>
    <w:rsid w:val="00162534"/>
    <w:rsid w:val="00165E5D"/>
    <w:rsid w:val="001A40BE"/>
    <w:rsid w:val="001A5681"/>
    <w:rsid w:val="001A6209"/>
    <w:rsid w:val="001B14FA"/>
    <w:rsid w:val="001E117F"/>
    <w:rsid w:val="001E2488"/>
    <w:rsid w:val="001E4567"/>
    <w:rsid w:val="001F5261"/>
    <w:rsid w:val="00231E79"/>
    <w:rsid w:val="0023575A"/>
    <w:rsid w:val="00235A43"/>
    <w:rsid w:val="002C31CA"/>
    <w:rsid w:val="00305B71"/>
    <w:rsid w:val="00321A91"/>
    <w:rsid w:val="003325F3"/>
    <w:rsid w:val="00344C3F"/>
    <w:rsid w:val="003506C9"/>
    <w:rsid w:val="00362723"/>
    <w:rsid w:val="0037521E"/>
    <w:rsid w:val="00382C32"/>
    <w:rsid w:val="003A56D1"/>
    <w:rsid w:val="003B7DED"/>
    <w:rsid w:val="003C1632"/>
    <w:rsid w:val="003D2D54"/>
    <w:rsid w:val="00403E30"/>
    <w:rsid w:val="00426F87"/>
    <w:rsid w:val="00444A89"/>
    <w:rsid w:val="00476D23"/>
    <w:rsid w:val="004845ED"/>
    <w:rsid w:val="00501978"/>
    <w:rsid w:val="00530A30"/>
    <w:rsid w:val="0057338F"/>
    <w:rsid w:val="005B1032"/>
    <w:rsid w:val="005E2E44"/>
    <w:rsid w:val="00623D81"/>
    <w:rsid w:val="006251A9"/>
    <w:rsid w:val="00626372"/>
    <w:rsid w:val="00632758"/>
    <w:rsid w:val="0063714F"/>
    <w:rsid w:val="00660CCC"/>
    <w:rsid w:val="006644DE"/>
    <w:rsid w:val="006F3F34"/>
    <w:rsid w:val="00715AE6"/>
    <w:rsid w:val="00721877"/>
    <w:rsid w:val="00741604"/>
    <w:rsid w:val="00742400"/>
    <w:rsid w:val="00770284"/>
    <w:rsid w:val="007711E9"/>
    <w:rsid w:val="007872C6"/>
    <w:rsid w:val="007A77BD"/>
    <w:rsid w:val="007B008D"/>
    <w:rsid w:val="007C6EDA"/>
    <w:rsid w:val="007E01BC"/>
    <w:rsid w:val="007E501B"/>
    <w:rsid w:val="007E60F1"/>
    <w:rsid w:val="007F2213"/>
    <w:rsid w:val="00851141"/>
    <w:rsid w:val="0086500D"/>
    <w:rsid w:val="00871816"/>
    <w:rsid w:val="00885F93"/>
    <w:rsid w:val="00896BFC"/>
    <w:rsid w:val="008A1C71"/>
    <w:rsid w:val="008B46C0"/>
    <w:rsid w:val="008D25CD"/>
    <w:rsid w:val="008D598F"/>
    <w:rsid w:val="008D615F"/>
    <w:rsid w:val="008E18B1"/>
    <w:rsid w:val="0090285B"/>
    <w:rsid w:val="00902D8A"/>
    <w:rsid w:val="00902DF4"/>
    <w:rsid w:val="00905497"/>
    <w:rsid w:val="009372EF"/>
    <w:rsid w:val="009739CA"/>
    <w:rsid w:val="009901E7"/>
    <w:rsid w:val="009D79CE"/>
    <w:rsid w:val="009F0649"/>
    <w:rsid w:val="00A619E5"/>
    <w:rsid w:val="00A65A0F"/>
    <w:rsid w:val="00A865A4"/>
    <w:rsid w:val="00AA6F71"/>
    <w:rsid w:val="00AE26A2"/>
    <w:rsid w:val="00AE6340"/>
    <w:rsid w:val="00B05D54"/>
    <w:rsid w:val="00B1707F"/>
    <w:rsid w:val="00B277EC"/>
    <w:rsid w:val="00B60364"/>
    <w:rsid w:val="00B67EFD"/>
    <w:rsid w:val="00B73C63"/>
    <w:rsid w:val="00B91870"/>
    <w:rsid w:val="00B92052"/>
    <w:rsid w:val="00B9462B"/>
    <w:rsid w:val="00BA70DE"/>
    <w:rsid w:val="00BC4908"/>
    <w:rsid w:val="00BF2016"/>
    <w:rsid w:val="00C12536"/>
    <w:rsid w:val="00C23AD2"/>
    <w:rsid w:val="00C32EDF"/>
    <w:rsid w:val="00C33D25"/>
    <w:rsid w:val="00C52909"/>
    <w:rsid w:val="00C66187"/>
    <w:rsid w:val="00C70269"/>
    <w:rsid w:val="00C70FC9"/>
    <w:rsid w:val="00C80841"/>
    <w:rsid w:val="00CA2FA0"/>
    <w:rsid w:val="00CA7570"/>
    <w:rsid w:val="00CD4983"/>
    <w:rsid w:val="00CE44E2"/>
    <w:rsid w:val="00D31290"/>
    <w:rsid w:val="00D400B7"/>
    <w:rsid w:val="00D877C1"/>
    <w:rsid w:val="00D97EB1"/>
    <w:rsid w:val="00DD0351"/>
    <w:rsid w:val="00DD7880"/>
    <w:rsid w:val="00E026C4"/>
    <w:rsid w:val="00E046CA"/>
    <w:rsid w:val="00E13EFB"/>
    <w:rsid w:val="00E3779F"/>
    <w:rsid w:val="00E757D4"/>
    <w:rsid w:val="00E951B9"/>
    <w:rsid w:val="00EA16A7"/>
    <w:rsid w:val="00EF1E6F"/>
    <w:rsid w:val="00F072AA"/>
    <w:rsid w:val="00F17735"/>
    <w:rsid w:val="00F3709D"/>
    <w:rsid w:val="00F46C55"/>
    <w:rsid w:val="00F5132E"/>
    <w:rsid w:val="00F531D3"/>
    <w:rsid w:val="00F804B5"/>
    <w:rsid w:val="00F82564"/>
    <w:rsid w:val="00F90D81"/>
    <w:rsid w:val="00F957DA"/>
    <w:rsid w:val="00F95A55"/>
    <w:rsid w:val="00FB0157"/>
    <w:rsid w:val="00FB7192"/>
    <w:rsid w:val="00FE046F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C6D6"/>
  <w15:chartTrackingRefBased/>
  <w15:docId w15:val="{AEF62416-1A1B-4C35-8C8A-F81AADFB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851141"/>
    <w:pPr>
      <w:widowControl w:val="0"/>
      <w:autoSpaceDE w:val="0"/>
      <w:autoSpaceDN w:val="0"/>
      <w:spacing w:before="8" w:after="0" w:line="240" w:lineRule="auto"/>
      <w:ind w:left="217"/>
      <w:outlineLvl w:val="0"/>
    </w:pPr>
    <w:rPr>
      <w:rFonts w:ascii="Arial" w:eastAsia="Arial" w:hAnsi="Arial" w:cs="Arial"/>
      <w:sz w:val="21"/>
      <w:szCs w:val="21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5B7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5B7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1"/>
    <w:qFormat/>
    <w:rsid w:val="00305B7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4D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6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1"/>
    <w:rsid w:val="00851141"/>
    <w:rPr>
      <w:rFonts w:ascii="Arial" w:eastAsia="Arial" w:hAnsi="Arial" w:cs="Arial"/>
      <w:sz w:val="21"/>
      <w:szCs w:val="21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8511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51141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cunovodstvo@dvng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5DD3A-1A8D-401D-96F7-D950AB45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6</cp:revision>
  <cp:lastPrinted>2023-02-14T06:52:00Z</cp:lastPrinted>
  <dcterms:created xsi:type="dcterms:W3CDTF">2024-02-14T09:04:00Z</dcterms:created>
  <dcterms:modified xsi:type="dcterms:W3CDTF">2025-02-17T10:33:00Z</dcterms:modified>
</cp:coreProperties>
</file>